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05553975)&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Link/Document/FullText?findType=h&amp;pubNum=176284&amp;cite=0222272801&amp;originatingDoc=I8426847890fe11d9bc61beebb95be672&amp;refType=RQ&amp;originationContext=document&amp;vr=3.0&amp;rs=cblt1.0&amp;transitionType=DocumentItem&amp;contextData=(sc.Default)"/>
  <Relationship Id="r9"
    Type="http://schemas.openxmlformats.org/officeDocument/2006/relationships/hyperlink"
    TargetMode="External"
    Target="http://www.westlaw.com/Browse/Home/KeyNumber/30/View.html?docGuid=I8426847890fe11d9bc61beebb95be672&amp;originationContext=document&amp;vr=3.0&amp;rs=cblt1.0&amp;transitionType=DocumentItem&amp;contextData=(sc.Default)"/>
  <Relationship Id="r10"
    Type="http://schemas.openxmlformats.org/officeDocument/2006/relationships/hyperlink"
    TargetMode="External"
    Target="http://www.westlaw.com/Browse/Home/KeyNumber/30k781/View.html?docGuid=I8426847890fe11d9bc61beebb95be672&amp;originationContext=document&amp;vr=3.0&amp;rs=cblt1.0&amp;transitionType=DocumentItem&amp;contextData=(sc.Default)"/>
  <Relationship Id="r11"
    Type="http://schemas.openxmlformats.org/officeDocument/2006/relationships/hyperlink"
    TargetMode="External"
    Target="http://www.westlaw.com/Browse/Home/KeyNumber/30/View.html?docGuid=I8426847890fe11d9bc61beebb95be672&amp;originationContext=document&amp;vr=3.0&amp;rs=cblt1.0&amp;transitionType=DocumentItem&amp;contextData=(sc.Default)"/>
  <Relationship Id="r12"
    Type="http://schemas.openxmlformats.org/officeDocument/2006/relationships/hyperlink"
    TargetMode="External"
    Target="http://www.westlaw.com/Browse/Home/KeyNumber/30XIII/View.html?docGuid=I8426847890fe11d9bc61beebb95be672&amp;originationContext=document&amp;vr=3.0&amp;rs=cblt1.0&amp;transitionType=DocumentItem&amp;contextData=(sc.Default)"/>
  <Relationship Id="r13"
    Type="http://schemas.openxmlformats.org/officeDocument/2006/relationships/hyperlink"
    TargetMode="External"
    Target="http://www.westlaw.com/Browse/Home/KeyNumber/30k779/View.html?docGuid=I8426847890fe11d9bc61beebb95be672&amp;originationContext=document&amp;vr=3.0&amp;rs=cblt1.0&amp;transitionType=DocumentItem&amp;contextData=(sc.Default)"/>
  <Relationship Id="r14"
    Type="http://schemas.openxmlformats.org/officeDocument/2006/relationships/hyperlink"
    TargetMode="External"
    Target="http://www.westlaw.com/Browse/Home/KeyNumber/30k781/View.html?docGuid=I8426847890fe11d9bc61beebb95be672&amp;originationContext=document&amp;vr=3.0&amp;rs=cblt1.0&amp;transitionType=DocumentItem&amp;contextData=(sc.Default)"/>
  <Relationship Id="r15"
    Type="http://schemas.openxmlformats.org/officeDocument/2006/relationships/hyperlink"
    TargetMode="External"
    Target="http://www.westlaw.com/Browse/Home/KeyNumber/30k781(1)/View.html?docGuid=I8426847890fe11d9bc61beebb95be672&amp;originationContext=document&amp;vr=3.0&amp;rs=cblt1.0&amp;transitionType=DocumentItem&amp;contextData=(sc.Default)"/>
  <Relationship Id="r16"
    Type="http://schemas.openxmlformats.org/officeDocument/2006/relationships/hyperlink"
    TargetMode="External"
    Target="http://www.westlaw.com/Link/RelatedInformation/DocHeadnoteLink?docGuid=I8426847890fe11d9bc61beebb95be672&amp;headnoteId=200632989300120180311081033&amp;originationContext=document&amp;vr=3.0&amp;rs=cblt1.0&amp;transitionType=CitingReferences&amp;contextData=(sc.Default)"/>
  <Relationship Id="r17"
    Type="http://schemas.openxmlformats.org/officeDocument/2006/relationships/image"
    Target="images/2.png"/>
  <Relationship Id="r18"
    Type="http://schemas.openxmlformats.org/officeDocument/2006/relationships/hyperlink"
    TargetMode="External"
    Target="http://www.westlaw.com/Browse/Home/KeyNumber/212/View.html?docGuid=I8426847890fe11d9bc61beebb95be672&amp;originationContext=document&amp;vr=3.0&amp;rs=cblt1.0&amp;transitionType=DocumentItem&amp;contextData=(sc.Default)"/>
  <Relationship Id="r19"
    Type="http://schemas.openxmlformats.org/officeDocument/2006/relationships/hyperlink"
    TargetMode="External"
    Target="http://www.westlaw.com/Browse/Home/KeyNumber/212k1074/View.html?docGuid=I8426847890fe11d9bc61beebb95be672&amp;originationContext=document&amp;vr=3.0&amp;rs=cblt1.0&amp;transitionType=DocumentItem&amp;contextData=(sc.Default)"/>
  <Relationship Id="r20"
    Type="http://schemas.openxmlformats.org/officeDocument/2006/relationships/hyperlink"
    TargetMode="External"
    Target="http://www.westlaw.com/Browse/Home/KeyNumber/212/View.html?docGuid=I8426847890fe11d9bc61beebb95be672&amp;originationContext=document&amp;vr=3.0&amp;rs=cblt1.0&amp;transitionType=DocumentItem&amp;contextData=(sc.Default)"/>
  <Relationship Id="r21"
    Type="http://schemas.openxmlformats.org/officeDocument/2006/relationships/hyperlink"
    TargetMode="External"
    Target="http://www.westlaw.com/Browse/Home/KeyNumber/212II/View.html?docGuid=I8426847890fe11d9bc61beebb95be672&amp;originationContext=document&amp;vr=3.0&amp;rs=cblt1.0&amp;transitionType=DocumentItem&amp;contextData=(sc.Default)"/>
  <Relationship Id="r22"
    Type="http://schemas.openxmlformats.org/officeDocument/2006/relationships/hyperlink"
    TargetMode="External"
    Target="http://www.westlaw.com/Browse/Home/KeyNumber/212II(A)/View.html?docGuid=I8426847890fe11d9bc61beebb95be672&amp;originationContext=document&amp;vr=3.0&amp;rs=cblt1.0&amp;transitionType=DocumentItem&amp;contextData=(sc.Default)"/>
  <Relationship Id="r23"
    Type="http://schemas.openxmlformats.org/officeDocument/2006/relationships/hyperlink"
    TargetMode="External"
    Target="http://www.westlaw.com/Browse/Home/KeyNumber/212k1074/View.html?docGuid=I8426847890fe11d9bc61beebb95be672&amp;originationContext=document&amp;vr=3.0&amp;rs=cblt1.0&amp;transitionType=DocumentItem&amp;contextData=(sc.Default)"/>
  <Relationship Id="r24"
    Type="http://schemas.openxmlformats.org/officeDocument/2006/relationships/hyperlink"
    TargetMode="External"
    Target="http://www.westlaw.com/Link/RelatedInformation/DocHeadnoteLink?docGuid=I8426847890fe11d9bc61beebb95be672&amp;headnoteId=200632989300220180311081033&amp;originationContext=document&amp;vr=3.0&amp;rs=cblt1.0&amp;transitionType=CitingReferences&amp;contextData=(sc.Default)"/>
  <Relationship Id="r25"
    Type="http://schemas.openxmlformats.org/officeDocument/2006/relationships/hyperlink"
    TargetMode="External"
    Target="http://www.westlaw.com/Browse/Home/KeyNumber/212/View.html?docGuid=I8426847890fe11d9bc61beebb95be672&amp;originationContext=document&amp;vr=3.0&amp;rs=cblt1.0&amp;transitionType=DocumentItem&amp;contextData=(sc.Default)"/>
  <Relationship Id="r26"
    Type="http://schemas.openxmlformats.org/officeDocument/2006/relationships/hyperlink"
    TargetMode="External"
    Target="http://www.westlaw.com/Browse/Home/KeyNumber/212k1092/View.html?docGuid=I8426847890fe11d9bc61beebb95be672&amp;originationContext=document&amp;vr=3.0&amp;rs=cblt1.0&amp;transitionType=DocumentItem&amp;contextData=(sc.Default)"/>
  <Relationship Id="r27"
    Type="http://schemas.openxmlformats.org/officeDocument/2006/relationships/hyperlink"
    TargetMode="External"
    Target="http://www.westlaw.com/Browse/Home/KeyNumber/212/View.html?docGuid=I8426847890fe11d9bc61beebb95be672&amp;originationContext=document&amp;vr=3.0&amp;rs=cblt1.0&amp;transitionType=DocumentItem&amp;contextData=(sc.Default)"/>
  <Relationship Id="r28"
    Type="http://schemas.openxmlformats.org/officeDocument/2006/relationships/hyperlink"
    TargetMode="External"
    Target="http://www.westlaw.com/Browse/Home/KeyNumber/212II/View.html?docGuid=I8426847890fe11d9bc61beebb95be672&amp;originationContext=document&amp;vr=3.0&amp;rs=cblt1.0&amp;transitionType=DocumentItem&amp;contextData=(sc.Default)"/>
  <Relationship Id="r29"
    Type="http://schemas.openxmlformats.org/officeDocument/2006/relationships/hyperlink"
    TargetMode="External"
    Target="http://www.westlaw.com/Browse/Home/KeyNumber/212II(B)/View.html?docGuid=I8426847890fe11d9bc61beebb95be672&amp;originationContext=document&amp;vr=3.0&amp;rs=cblt1.0&amp;transitionType=DocumentItem&amp;contextData=(sc.Default)"/>
  <Relationship Id="r30"
    Type="http://schemas.openxmlformats.org/officeDocument/2006/relationships/hyperlink"
    TargetMode="External"
    Target="http://www.westlaw.com/Browse/Home/KeyNumber/212k1092/View.html?docGuid=I8426847890fe11d9bc61beebb95be672&amp;originationContext=document&amp;vr=3.0&amp;rs=cblt1.0&amp;transitionType=DocumentItem&amp;contextData=(sc.Default)"/>
  <Relationship Id="r31"
    Type="http://schemas.openxmlformats.org/officeDocument/2006/relationships/hyperlink"
    TargetMode="External"
    Target="http://www.westlaw.com/Link/RelatedInformation/DocHeadnoteLink?docGuid=I8426847890fe11d9bc61beebb95be672&amp;headnoteId=200632989300320180311081033&amp;originationContext=document&amp;vr=3.0&amp;rs=cblt1.0&amp;transitionType=CitingReferences&amp;contextData=(sc.Default)"/>
  <Relationship Id="r32"
    Type="http://schemas.openxmlformats.org/officeDocument/2006/relationships/hyperlink"
    TargetMode="External"
    Target="http://www.westlaw.com/Browse/Home/KeyNumber/30/View.html?docGuid=I8426847890fe11d9bc61beebb95be672&amp;originationContext=document&amp;vr=3.0&amp;rs=cblt1.0&amp;transitionType=DocumentItem&amp;contextData=(sc.Default)"/>
  <Relationship Id="r33"
    Type="http://schemas.openxmlformats.org/officeDocument/2006/relationships/hyperlink"
    TargetMode="External"
    Target="http://www.westlaw.com/Browse/Home/KeyNumber/30k3664/View.html?docGuid=I8426847890fe11d9bc61beebb95be672&amp;originationContext=document&amp;vr=3.0&amp;rs=cblt1.0&amp;transitionType=DocumentItem&amp;contextData=(sc.Default)"/>
  <Relationship Id="r34"
    Type="http://schemas.openxmlformats.org/officeDocument/2006/relationships/hyperlink"
    TargetMode="External"
    Target="http://www.westlaw.com/Browse/Home/KeyNumber/30/View.html?docGuid=I8426847890fe11d9bc61beebb95be672&amp;originationContext=document&amp;vr=3.0&amp;rs=cblt1.0&amp;transitionType=DocumentItem&amp;contextData=(sc.Default)"/>
  <Relationship Id="r35"
    Type="http://schemas.openxmlformats.org/officeDocument/2006/relationships/hyperlink"
    TargetMode="External"
    Target="http://www.westlaw.com/Browse/Home/KeyNumber/30XVI/View.html?docGuid=I8426847890fe11d9bc61beebb95be672&amp;originationContext=document&amp;vr=3.0&amp;rs=cblt1.0&amp;transitionType=DocumentItem&amp;contextData=(sc.Default)"/>
  <Relationship Id="r36"
    Type="http://schemas.openxmlformats.org/officeDocument/2006/relationships/hyperlink"
    TargetMode="External"
    Target="http://www.westlaw.com/Browse/Home/KeyNumber/30XVI(D)/View.html?docGuid=I8426847890fe11d9bc61beebb95be672&amp;originationContext=document&amp;vr=3.0&amp;rs=cblt1.0&amp;transitionType=DocumentItem&amp;contextData=(sc.Default)"/>
  <Relationship Id="r37"
    Type="http://schemas.openxmlformats.org/officeDocument/2006/relationships/hyperlink"
    TargetMode="External"
    Target="http://www.westlaw.com/Browse/Home/KeyNumber/30XVI(D)19/View.html?docGuid=I8426847890fe11d9bc61beebb95be672&amp;originationContext=document&amp;vr=3.0&amp;rs=cblt1.0&amp;transitionType=DocumentItem&amp;contextData=(sc.Default)"/>
  <Relationship Id="r38"
    Type="http://schemas.openxmlformats.org/officeDocument/2006/relationships/hyperlink"
    TargetMode="External"
    Target="http://www.westlaw.com/Browse/Home/KeyNumber/30k3664/View.html?docGuid=I8426847890fe11d9bc61beebb95be672&amp;originationContext=document&amp;vr=3.0&amp;rs=cblt1.0&amp;transitionType=DocumentItem&amp;contextData=(sc.Default)"/>
  <Relationship Id="r39"
    Type="http://schemas.openxmlformats.org/officeDocument/2006/relationships/hyperlink"
    TargetMode="External"
    Target="http://www.westlaw.com/Browse/Home/KeyNumber/405/View.html?docGuid=I8426847890fe11d9bc61beebb95be672&amp;originationContext=document&amp;vr=3.0&amp;rs=cblt1.0&amp;transitionType=DocumentItem&amp;contextData=(sc.Default)"/>
  <Relationship Id="r40"
    Type="http://schemas.openxmlformats.org/officeDocument/2006/relationships/hyperlink"
    TargetMode="External"
    Target="http://www.westlaw.com/Browse/Home/KeyNumber/405k1746/View.html?docGuid=I8426847890fe11d9bc61beebb95be672&amp;originationContext=document&amp;vr=3.0&amp;rs=cblt1.0&amp;transitionType=DocumentItem&amp;contextData=(sc.Default)"/>
  <Relationship Id="r41"
    Type="http://schemas.openxmlformats.org/officeDocument/2006/relationships/hyperlink"
    TargetMode="External"
    Target="http://www.westlaw.com/Browse/Home/KeyNumber/405/View.html?docGuid=I8426847890fe11d9bc61beebb95be672&amp;originationContext=document&amp;vr=3.0&amp;rs=cblt1.0&amp;transitionType=DocumentItem&amp;contextData=(sc.Default)"/>
  <Relationship Id="r42"
    Type="http://schemas.openxmlformats.org/officeDocument/2006/relationships/hyperlink"
    TargetMode="External"
    Target="http://www.westlaw.com/Browse/Home/KeyNumber/405IX/View.html?docGuid=I8426847890fe11d9bc61beebb95be672&amp;originationContext=document&amp;vr=3.0&amp;rs=cblt1.0&amp;transitionType=DocumentItem&amp;contextData=(sc.Default)"/>
  <Relationship Id="r43"
    Type="http://schemas.openxmlformats.org/officeDocument/2006/relationships/hyperlink"
    TargetMode="External"
    Target="http://www.westlaw.com/Browse/Home/KeyNumber/405k1743/View.html?docGuid=I8426847890fe11d9bc61beebb95be672&amp;originationContext=document&amp;vr=3.0&amp;rs=cblt1.0&amp;transitionType=DocumentItem&amp;contextData=(sc.Default)"/>
  <Relationship Id="r44"
    Type="http://schemas.openxmlformats.org/officeDocument/2006/relationships/hyperlink"
    TargetMode="External"
    Target="http://www.westlaw.com/Browse/Home/KeyNumber/405k1746/View.html?docGuid=I8426847890fe11d9bc61beebb95be672&amp;originationContext=document&amp;vr=3.0&amp;rs=cblt1.0&amp;transitionType=DocumentItem&amp;contextData=(sc.Default)"/>
  <Relationship Id="r45"
    Type="http://schemas.openxmlformats.org/officeDocument/2006/relationships/hyperlink"
    TargetMode="External"
    Target="http://www.westlaw.com/Link/RelatedInformation/DocHeadnoteLink?docGuid=I8426847890fe11d9bc61beebb95be672&amp;headnoteId=200632989300520180311081033&amp;originationContext=document&amp;vr=3.0&amp;rs=cblt1.0&amp;transitionType=CitingReferences&amp;contextData=(sc.Default)"/>
  <Relationship Id="r46"
    Type="http://schemas.openxmlformats.org/officeDocument/2006/relationships/hyperlink"
    TargetMode="External"
    Target="http://www.westlaw.com/Link/Document/FullText?findType=h&amp;pubNum=176284&amp;cite=0356052701&amp;originatingDoc=I8426847890fe11d9bc61beebb95be672&amp;refType=RQ&amp;originationContext=document&amp;vr=3.0&amp;rs=cblt1.0&amp;transitionType=DocumentItem&amp;contextData=(sc.Default)"/>
  <Relationship Id="r47"
    Type="http://schemas.openxmlformats.org/officeDocument/2006/relationships/hyperlink"
    TargetMode="External"
    Target="http://www.westlaw.com/Link/Document/FullText?findType=h&amp;pubNum=176284&amp;cite=0226143901&amp;originatingDoc=I8426847890fe11d9bc61beebb95be672&amp;refType=RQ&amp;originationContext=document&amp;vr=3.0&amp;rs=cblt1.0&amp;transitionType=DocumentItem&amp;contextData=(sc.Default)"/>
  <Relationship Id="r48"
    Type="http://schemas.openxmlformats.org/officeDocument/2006/relationships/hyperlink"
    TargetMode="External"
    Target="http://www.westlaw.com/Link/Document/FullText?findType=h&amp;pubNum=176284&amp;cite=0226412001&amp;originatingDoc=I8426847890fe11d9bc61beebb95be672&amp;refType=RQ&amp;originationContext=document&amp;vr=3.0&amp;rs=cblt1.0&amp;transitionType=DocumentItem&amp;contextData=(sc.Default)"/>
  <Relationship Id="r49"
    Type="http://schemas.openxmlformats.org/officeDocument/2006/relationships/hyperlink"
    TargetMode="External"
    Target="http://www.westlaw.com/Link/Document/FullText?findType=h&amp;pubNum=176284&amp;cite=0180183001&amp;originatingDoc=I8426847890fe11d9bc61beebb95be672&amp;refType=RQ&amp;originationContext=document&amp;vr=3.0&amp;rs=cblt1.0&amp;transitionType=DocumentItem&amp;contextData=(sc.Default)"/>
  <Relationship Id="r50"
    Type="http://schemas.openxmlformats.org/officeDocument/2006/relationships/hyperlink"
    TargetMode="External"
    Target="http://www.westlaw.com/Link/Document/FullText?findType=h&amp;pubNum=176284&amp;cite=0169245001&amp;originatingDoc=I8426847890fe11d9bc61beebb95be672&amp;refType=RQ&amp;originationContext=document&amp;vr=3.0&amp;rs=cblt1.0&amp;transitionType=DocumentItem&amp;contextData=(sc.Default)"/>
  <Relationship Id="r51"
    Type="http://schemas.openxmlformats.org/officeDocument/2006/relationships/hyperlink"
    TargetMode="External"
    Target="http://www.westlaw.com/Link/Document/FullText?findType=h&amp;pubNum=176284&amp;cite=0291458901&amp;originatingDoc=I8426847890fe11d9bc61beebb95be672&amp;refType=RQ&amp;originationContext=document&amp;vr=3.0&amp;rs=cblt1.0&amp;transitionType=DocumentItem&amp;contextData=(sc.Default)"/>
  <Relationship Id="r52"
    Type="http://schemas.openxmlformats.org/officeDocument/2006/relationships/hyperlink"
    TargetMode="External"
    Target="http://www.westlaw.com/Link/Document/FullText?findType=h&amp;pubNum=176284&amp;cite=0226679201&amp;originatingDoc=I8426847890fe11d9bc61beebb95be672&amp;refType=RQ&amp;originationContext=document&amp;vr=3.0&amp;rs=cblt1.0&amp;transitionType=DocumentItem&amp;contextData=(sc.Default)"/>
  <Relationship Id="r53"
    Type="http://schemas.openxmlformats.org/officeDocument/2006/relationships/hyperlink"
    TargetMode="External"
    Target="http://www.westlaw.com/Link/Document/FullText?findType=h&amp;pubNum=176284&amp;cite=0172227701&amp;originatingDoc=I8426847890fe11d9bc61beebb95be672&amp;refType=RQ&amp;originationContext=document&amp;vr=3.0&amp;rs=cblt1.0&amp;transitionType=DocumentItem&amp;contextData=(sc.Default)"/>
  <Relationship Id="r54"
    Type="http://schemas.openxmlformats.org/officeDocument/2006/relationships/hyperlink"
    TargetMode="External"
    Target="https://1.next.westlaw.com/Link/RelatedInformation/Flag?documentGuid=Icb19b7b90c4411d9bc18e8274af85244&amp;transitionType=InlineKeyCiteFlags&amp;originationContext=docHeaderFlag&amp;Rank=0&amp;ppcid=4a1aea673a1c46dd94a8af20d60469f3&amp;contextData=(sc.Default)"/>
  <Relationship Id="r55"
    Type="http://schemas.openxmlformats.org/officeDocument/2006/relationships/hyperlink"
    TargetMode="External"
    Target="http://www.westlaw.com/Link/Document/FullText?findType=Y&amp;serNum=1984126653&amp;pubNum=0000735&amp;originatingDoc=I8426847890fe11d9bc61beebb95be672&amp;refType=RP&amp;originationContext=document&amp;vr=3.0&amp;rs=cblt1.0&amp;transitionType=DocumentItem&amp;contextData=(sc.Default)"/>
  <Relationship Id="r56"
    Type="http://schemas.openxmlformats.org/officeDocument/2006/relationships/image"
    Target="images/3.png"/>
  <Relationship Id="r57"
    Type="http://schemas.openxmlformats.org/officeDocument/2006/relationships/hyperlink"
    TargetMode="External"
    Target="http://www.westlaw.com/Link/Document/FullText?findType=L&amp;pubNum=1000016&amp;cite=LACOART9S1&amp;originatingDoc=I8426847890fe11d9bc61beebb95be672&amp;refType=LQ&amp;originationContext=document&amp;vr=3.0&amp;rs=cblt1.0&amp;transitionType=DocumentItem&amp;contextData=(sc.Default)"/>
  <Relationship Id="r58"
    Type="http://schemas.openxmlformats.org/officeDocument/2006/relationships/hyperlink"
    TargetMode="External"
    Target="https://1.next.westlaw.com/Link/RelatedInformation/Flag?documentGuid=I31b1aad5238511d9aaecedbddfbb95ea&amp;transitionType=InlineKeyCiteFlags&amp;originationContext=docHeaderFlag&amp;Rank=0&amp;ppcid=4a1aea673a1c46dd94a8af20d60469f3&amp;contextData=(sc.Default)"/>
  <Relationship Id="r59"
    Type="http://schemas.openxmlformats.org/officeDocument/2006/relationships/hyperlink"
    TargetMode="External"
    Target="http://www.westlaw.com/Link/Document/FullText?findType=Y&amp;serNum=2005372061&amp;pubNum=735&amp;originatingDoc=I8426847890fe11d9bc61beebb95be672&amp;refType=RP&amp;originationContext=document&amp;vr=3.0&amp;rs=cblt1.0&amp;transitionType=DocumentItem&amp;contextData=(sc.Default)"/>
  <Relationship Id="r60"
    Type="http://schemas.openxmlformats.org/officeDocument/2006/relationships/hyperlink"
    TargetMode="External"
    Target="http://www.westlaw.com/Link/Document/FullText?findType=Y&amp;serNum=1997097619&amp;pubNum=735&amp;originatingDoc=I8426847890fe11d9bc61beebb95be672&amp;refType=RP&amp;originationContext=document&amp;vr=3.0&amp;rs=cblt1.0&amp;transitionType=DocumentItem&amp;contextData=(sc.Default)"/>
  <Relationship Id="r61"
    Type="http://schemas.openxmlformats.org/officeDocument/2006/relationships/hyperlink"
    TargetMode="External"
    Target="http://www.westlaw.com/Link/Document/FullText?findType=Y&amp;serNum=1997190766&amp;pubNum=735&amp;originatingDoc=I8426847890fe11d9bc61beebb95be672&amp;refType=RP&amp;originationContext=document&amp;vr=3.0&amp;rs=cblt1.0&amp;transitionType=DocumentItem&amp;contextData=(sc.Default)"/>
  <Relationship Id="r62"
    Type="http://schemas.openxmlformats.org/officeDocument/2006/relationships/hyperlink"
    TargetMode="External"
    Target="https://1.next.westlaw.com/Link/RelatedInformation/Flag?documentGuid=I2f6bb5240ece11d9bde8ee3d49ead4ec&amp;transitionType=InlineKeyCiteFlags&amp;originationContext=docHeaderFlag&amp;Rank=0&amp;ppcid=4a1aea673a1c46dd94a8af20d60469f3&amp;contextData=(sc.Default)"/>
  <Relationship Id="r63"
    Type="http://schemas.openxmlformats.org/officeDocument/2006/relationships/hyperlink"
    TargetMode="External"
    Target="http://www.westlaw.com/Link/Document/FullText?findType=Y&amp;serNum=2001916341&amp;pubNum=0000735&amp;originatingDoc=I8426847890fe11d9bc61beebb95be672&amp;refType=RP&amp;originationContext=document&amp;vr=3.0&amp;rs=cblt1.0&amp;transitionType=DocumentItem&amp;contextData=(sc.Default)"/>
  <Relationship Id="r64"
    Type="http://schemas.openxmlformats.org/officeDocument/2006/relationships/hyperlink"
    TargetMode="External"
    Target="http://www.westlaw.com/Link/Document/FullText?findType=L&amp;pubNum=1000016&amp;cite=LACOART9S1&amp;originatingDoc=I8426847890fe11d9bc61beebb95be672&amp;refType=LQ&amp;originationContext=document&amp;vr=3.0&amp;rs=cblt1.0&amp;transitionType=DocumentItem&amp;contextData=(sc.Default)"/>
  <Relationship Id="r65"
    Type="http://schemas.openxmlformats.org/officeDocument/2006/relationships/hyperlink"
    TargetMode="External"
    Target="http://www.westlaw.com/Link/Document/FullText?findType=L&amp;pubNum=1000016&amp;cite=LACOART9S1&amp;originatingDoc=I8426847890fe11d9bc61beebb95be672&amp;refType=LQ&amp;originationContext=document&amp;vr=3.0&amp;rs=cblt1.0&amp;transitionType=DocumentItem&amp;contextData=(sc.Default)"/>
  <Relationship Id="r66"
    Type="http://schemas.openxmlformats.org/officeDocument/2006/relationships/hyperlink"
    TargetMode="External"
    Target="https://1.next.westlaw.com/Link/RelatedInformation/Flag?documentGuid=Ic1d47af59c1e11d991d0cc6b54f12d4d&amp;transitionType=InlineKeyCiteFlags&amp;originationContext=docHeaderFlag&amp;Rank=0&amp;ppcid=4a1aea673a1c46dd94a8af20d60469f3&amp;contextData=(sc.Default)"/>
  <Relationship Id="r67"
    Type="http://schemas.openxmlformats.org/officeDocument/2006/relationships/hyperlink"
    TargetMode="External"
    Target="http://www.westlaw.com/Link/Document/FullText?findType=Y&amp;serNum=1980317157&amp;pubNum=0000708&amp;originatingDoc=I8426847890fe11d9bc61beebb95be672&amp;refType=RP&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8426847890fe11d9bc61beebb95be672_Targe"/>
      <w:bookmarkEnd w:id="1"/>
    </w:p>
    <w:bookmarkEnd w:id="0"/>
    <w:p>
      <w:pPr>
        <w:spacing w:before="0" w:after="0" w:line="275" w:lineRule="atLeast"/>
        <w:jc w:val="center"/>
      </w:pPr>
      <w:r>
        <w:rPr>
          <w:rFonts w:ascii="georgia" w:hAnsi="georgia"/>
          <w:color w:val="000000"/>
          <w:sz w:val="20"/>
        </w:rPr>
        <w:t>895 So.2d 821</w:t>
      </w:r>
    </w:p>
    <w:p>
      <w:pPr>
        <w:spacing w:before="0" w:after="0" w:line="275" w:lineRule="atLeast"/>
        <w:jc w:val="center"/>
      </w:pPr>
      <w:r>
        <w:rPr>
          <w:rFonts w:ascii="georgia" w:hAnsi="georgia"/>
          <w:color w:val="000000"/>
          <w:sz w:val="20"/>
        </w:rPr>
        <w:t>Court of Appeal of Louisiana,</w:t>
      </w:r>
    </w:p>
    <w:p>
      <w:pPr>
        <w:spacing w:before="0" w:after="0" w:line="275" w:lineRule="atLeast"/>
        <w:jc w:val="center"/>
      </w:pPr>
      <w:r>
        <w:rPr>
          <w:rFonts w:ascii="georgia" w:hAnsi="georgia"/>
          <w:color w:val="000000"/>
          <w:sz w:val="20"/>
        </w:rPr>
        <w:t>Second Circuit.</w:t>
      </w:r>
    </w:p>
    <w:p>
      <w:pPr>
        <w:spacing w:before="200" w:after="0" w:line="300" w:lineRule="atLeast"/>
        <w:ind w:left="100" w:right="100" w:firstLine="0"/>
        <w:jc w:val="center"/>
      </w:pPr>
      <w:hyperlink r:id="r7">
        <w:r>
          <w:rPr>
            <w:rFonts w:ascii="georgia" w:hAnsi="georgia"/>
            <w:color w:val="000000"/>
            <w:sz w:val="20"/>
          </w:rPr>
          <w:t>LAKE BISTINEAU PRESERVATION SOCIETY, INC.</w:t>
        </w:r>
      </w:hyperlink>
      <w:r>
        <w:rPr>
          <w:rFonts w:ascii="georgia" w:hAnsi="georgia"/>
          <w:color w:val="252525"/>
          <w:sz w:val="20"/>
        </w:rPr>
        <w:t>, et al, Plaintiffs–Appellants,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WILDLIFE AND FISHERIES COMMISSION OF The STATE OF LOUISIANA, et al., Defendants–Appellees.</w:t>
      </w:r>
    </w:p>
    <w:p>
      <w:pPr>
        <w:pBdr>
          <w:left w:val="none" w:space="8"/>
        </w:pBdr>
        <w:spacing w:before="200" w:after="0" w:line="275" w:lineRule="atLeast"/>
        <w:ind w:left="150" w:right="0" w:firstLine="0"/>
        <w:jc w:val="center"/>
      </w:pPr>
      <w:r>
        <w:rPr>
          <w:rFonts w:ascii="georgia" w:hAnsi="georgia"/>
          <w:color w:val="000000"/>
          <w:sz w:val="20"/>
        </w:rPr>
        <w:t>No. 39,369–CA.</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March 9, 2005.</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Citizens' group and property owner brought action against the Department of Wildlife and Fisheries (DWF), seeking a declaratory judgment and injunctive relief to prevent DWF from lowering lake. The Twenty–Sixth Judicial District Court, Parish of Bossier, Trial Court No. 114,784, </w:t>
      </w:r>
      <w:hyperlink r:id="r8">
        <w:r>
          <w:rPr>
            <w:rFonts w:ascii="Times New Roman" w:hAnsi="Times New Roman"/>
            <w:color w:val="000000"/>
            <w:sz w:val="20"/>
          </w:rPr>
          <w:t>Dewey E. Burchett, Jr.</w:t>
        </w:r>
      </w:hyperlink>
      <w:r>
        <w:rPr>
          <w:rFonts w:ascii="Times New Roman" w:hAnsi="Times New Roman"/>
          <w:color w:val="000000"/>
          <w:sz w:val="20"/>
        </w:rPr>
        <w:t>, J., denied preliminary injunction. Group and property owner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hyperlink w:anchor="co_anchor_F52006329893_1">
        <w:r>
          <w:rPr>
            <w:rFonts w:ascii="Times New Roman" w:hAnsi="Times New Roman"/>
            <w:b/>
            <w:color w:val="000000"/>
            <w:sz w:val="20"/>
          </w:rPr>
          <w:t>[Holding:]</w:t>
        </w:r>
      </w:hyperlink>
      <w:r>
        <w:rPr>
          <w:rFonts w:ascii="Times New Roman" w:hAnsi="Times New Roman"/>
          <w:color w:val="000000"/>
          <w:sz w:val="20"/>
        </w:rPr>
        <w:t xml:space="preserve"> The Court of Appeal, Gaskins, J., held that group was not entitled to preliminary injunction to prevent DWF from drawing down lake in the midsummer.</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Preliminary Injunction.</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(5)</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06329893001_1"/>
      <w:bookmarkStart w:id="7" w:name="co_headnotesTable_1"/>
      <w:tr>
        <w:tblPrEx/>
        <w:trPr/>
        <w:tc>
          <w:tcPr>
            <w:tcMar>
              <w:left w:w="30" w:type="dxa"/>
              <w:right w:w="30" w:type="dxa"/>
            </w:tcMar>
            <w:vAlign w:val="top"/>
          </w:tcPr>
          <w:p>
            <w:pPr>
              <w:spacing w:before="0" w:after="0" w:line="275" w:lineRule="atLeast"/>
            </w:pPr>
            <w:bookmarkStart w:id="8" w:name="co_anchor_F12006329893_1"/>
            <w:bookmarkStart w:id="9" w:name="co_anchor_headNote_[1]_1"/>
            <w:hyperlink w:anchor="co_anchor_B12006329893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9">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7"/>
                          <a:srcRect/>
                          <a:stretch>
                            <a:fillRect/>
                          </a:stretch>
                        </p:blipFill>
                        <p:spPr>
                          <a:xfrm>
                            <a:off x="0" y="0"/>
                            <a:ext cx="133350" cy="76200"/>
                          </a:xfrm>
                          <a:prstGeom prst="rect"/>
                        </p:spPr>
                      </p:pic>
                    </a:graphicData>
                  </a:graphic>
                </wp:inline>
              </w:drawing>
            </w:r>
            <w:hyperlink r:id="r10">
              <w:r>
                <w:rPr>
                  <w:rFonts w:ascii="Times New Roman" w:hAnsi="Times New Roman"/>
                  <w:color w:val="000000"/>
                  <w:sz w:val="20"/>
                </w:rPr>
                <w:t>Want of Actual Controversy</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2">
              <w:r>
                <w:rPr>
                  <w:rFonts w:ascii="Times New Roman" w:hAnsi="Times New Roman"/>
                  <w:color w:val="000000"/>
                  <w:sz w:val="18"/>
                </w:rPr>
                <w:t>30XIII</w:t>
              </w:r>
            </w:hyperlink>
            <w:r>
              <w:rPr>
                <w:rFonts w:ascii="Times New Roman" w:hAnsi="Times New Roman"/>
                <w:color w:val="000000"/>
                <w:sz w:val="18"/>
              </w:rPr>
              <w:t>Dismissal, Withdrawal, or Abandonment</w:t>
            </w:r>
          </w:p>
          <w:p>
            <w:pPr>
              <w:spacing w:before="0" w:after="0" w:line="255" w:lineRule="atLeast"/>
            </w:pPr>
            <w:hyperlink r:id="r13">
              <w:r>
                <w:rPr>
                  <w:rFonts w:ascii="Times New Roman" w:hAnsi="Times New Roman"/>
                  <w:color w:val="000000"/>
                  <w:sz w:val="18"/>
                </w:rPr>
                <w:t>30k779</w:t>
              </w:r>
            </w:hyperlink>
            <w:r>
              <w:rPr>
                <w:rFonts w:ascii="Times New Roman" w:hAnsi="Times New Roman"/>
                <w:color w:val="000000"/>
                <w:sz w:val="18"/>
              </w:rPr>
              <w:t>Grounds for Dismissal</w:t>
            </w:r>
          </w:p>
          <w:p>
            <w:pPr>
              <w:spacing w:before="0" w:after="0" w:line="255" w:lineRule="atLeast"/>
            </w:pPr>
            <w:hyperlink r:id="r14">
              <w:r>
                <w:rPr>
                  <w:rFonts w:ascii="Times New Roman" w:hAnsi="Times New Roman"/>
                  <w:color w:val="000000"/>
                  <w:sz w:val="18"/>
                </w:rPr>
                <w:t>30k781</w:t>
              </w:r>
            </w:hyperlink>
            <w:r>
              <w:rPr>
                <w:rFonts w:ascii="Times New Roman" w:hAnsi="Times New Roman"/>
                <w:color w:val="000000"/>
                <w:sz w:val="18"/>
              </w:rPr>
              <w:t>Want of Actual Controversy</w:t>
            </w:r>
          </w:p>
          <w:p>
            <w:pPr>
              <w:spacing w:before="0" w:after="0" w:line="255" w:lineRule="atLeast"/>
            </w:pPr>
            <w:hyperlink r:id="r15">
              <w:r>
                <w:rPr>
                  <w:rFonts w:ascii="Times New Roman" w:hAnsi="Times New Roman"/>
                  <w:color w:val="000000"/>
                  <w:sz w:val="18"/>
                </w:rPr>
                <w:t>30k781(1)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Issue of whether Department of Wildlife and Fisheries (DWF) exceeded its authority in lowering lake was capable of repetition, yet could evade review, and thus, citizens' group's appeal of a denial of a preliminary injunction to prevent lowering of lake was not rendered moot, even though the lake had already been lowered.</w:t>
            </w:r>
          </w:p>
          <w:bookmarkStart w:id="10" w:name="co_headnoteId_2006329893001201803110810"/>
          <w:p>
            <w:pPr>
              <w:spacing w:before="200" w:after="0" w:line="275" w:lineRule="atLeast"/>
              <w:jc w:val="both"/>
            </w:pPr>
            <w:hyperlink r:id="r16">
              <w:r>
                <w:rPr>
                  <w:rFonts w:ascii="Times New Roman" w:hAnsi="Times New Roman"/>
                  <w:color w:val="000000"/>
                  <w:sz w:val="20"/>
                </w:rPr>
                <w:t>1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2006329893002_1"/>
      <w:bookmarkStart w:id="12" w:name="co_headnotesTable_0_1"/>
      <w:tr>
        <w:tblPrEx/>
        <w:trPr/>
        <w:tc>
          <w:tcPr>
            <w:tcMar>
              <w:left w:w="30" w:type="dxa"/>
              <w:right w:w="30" w:type="dxa"/>
            </w:tcMar>
            <w:vAlign w:val="top"/>
          </w:tcPr>
          <w:p>
            <w:pPr>
              <w:spacing w:before="0" w:after="0" w:line="275" w:lineRule="atLeast"/>
            </w:pPr>
            <w:bookmarkStart w:id="13" w:name="co_anchor_F22006329893_1"/>
            <w:bookmarkStart w:id="14" w:name="co_anchor_headNote_[2]_1"/>
            <w:hyperlink w:anchor="co_anchor_B22006329893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8">
              <w:r>
                <w:rPr>
                  <w:rFonts w:ascii="Times New Roman" w:hAnsi="Times New Roman"/>
                  <w:b/>
                  <w:color w:val="000000"/>
                  <w:sz w:val="20"/>
                </w:rPr>
                <w:t>Injunction</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7"/>
                          <a:srcRect/>
                          <a:stretch>
                            <a:fillRect/>
                          </a:stretch>
                        </p:blipFill>
                        <p:spPr>
                          <a:xfrm>
                            <a:off x="0" y="0"/>
                            <a:ext cx="133350" cy="76200"/>
                          </a:xfrm>
                          <a:prstGeom prst="rect"/>
                        </p:spPr>
                      </p:pic>
                    </a:graphicData>
                  </a:graphic>
                </wp:inline>
              </w:drawing>
            </w:r>
            <w:hyperlink r:id="r19">
              <w:r>
                <w:rPr>
                  <w:rFonts w:ascii="Times New Roman" w:hAnsi="Times New Roman"/>
                  <w:color w:val="000000"/>
                  <w:sz w:val="20"/>
                </w:rPr>
                <w:t>Preservation of status quo</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
              <w:r>
                <w:rPr>
                  <w:rFonts w:ascii="Times New Roman" w:hAnsi="Times New Roman"/>
                  <w:color w:val="000000"/>
                  <w:sz w:val="18"/>
                </w:rPr>
                <w:t>212</w:t>
              </w:r>
            </w:hyperlink>
            <w:r>
              <w:rPr>
                <w:rFonts w:ascii="Times New Roman" w:hAnsi="Times New Roman"/>
                <w:color w:val="000000"/>
                <w:sz w:val="18"/>
              </w:rPr>
              <w:t>Injunction</w:t>
            </w:r>
          </w:p>
          <w:p>
            <w:pPr>
              <w:spacing w:before="0" w:after="0" w:line="255" w:lineRule="atLeast"/>
            </w:pPr>
            <w:hyperlink r:id="r21">
              <w:r>
                <w:rPr>
                  <w:rFonts w:ascii="Times New Roman" w:hAnsi="Times New Roman"/>
                  <w:color w:val="000000"/>
                  <w:sz w:val="18"/>
                </w:rPr>
                <w:t>212II</w:t>
              </w:r>
            </w:hyperlink>
            <w:r>
              <w:rPr>
                <w:rFonts w:ascii="Times New Roman" w:hAnsi="Times New Roman"/>
                <w:color w:val="000000"/>
                <w:sz w:val="18"/>
              </w:rPr>
              <w:t>Preliminary, Temporary, and Interlocutory Injunctions in General</w:t>
            </w:r>
          </w:p>
          <w:p>
            <w:pPr>
              <w:spacing w:before="0" w:after="0" w:line="255" w:lineRule="atLeast"/>
            </w:pPr>
            <w:hyperlink r:id="r22">
              <w:r>
                <w:rPr>
                  <w:rFonts w:ascii="Times New Roman" w:hAnsi="Times New Roman"/>
                  <w:color w:val="000000"/>
                  <w:sz w:val="18"/>
                </w:rPr>
                <w:t>212II(A)</w:t>
              </w:r>
            </w:hyperlink>
            <w:r>
              <w:rPr>
                <w:rFonts w:ascii="Times New Roman" w:hAnsi="Times New Roman"/>
                <w:color w:val="000000"/>
                <w:sz w:val="18"/>
              </w:rPr>
              <w:t>Nature, Form, and Scope of Remedy</w:t>
            </w:r>
          </w:p>
          <w:p>
            <w:pPr>
              <w:spacing w:before="0" w:after="0" w:line="255" w:lineRule="atLeast"/>
            </w:pPr>
            <w:hyperlink r:id="r23">
              <w:r>
                <w:rPr>
                  <w:rFonts w:ascii="Times New Roman" w:hAnsi="Times New Roman"/>
                  <w:color w:val="000000"/>
                  <w:sz w:val="18"/>
                </w:rPr>
                <w:t>212k1074</w:t>
              </w:r>
            </w:hyperlink>
            <w:r>
              <w:rPr>
                <w:rFonts w:ascii="Times New Roman" w:hAnsi="Times New Roman"/>
                <w:color w:val="000000"/>
                <w:sz w:val="18"/>
              </w:rPr>
              <w:t>Preservation of status quo</w:t>
            </w:r>
          </w:p>
          <w:p>
            <w:pPr>
              <w:spacing w:before="0" w:after="0" w:line="255" w:lineRule="atLeast"/>
            </w:pPr>
            <w:r>
              <w:rPr>
                <w:rFonts w:ascii="Times New Roman" w:hAnsi="Times New Roman"/>
                <w:color w:val="000000"/>
                <w:sz w:val="18"/>
              </w:rPr>
              <w:t>(Formerly 212k132)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preliminary injunction is an interlocutory procedural device designed to preserve the existing status pending a trial of the issues on the merits of the case.</w:t>
            </w:r>
          </w:p>
          <w:bookmarkStart w:id="15" w:name="co_headnoteId_2006329893002201803110810"/>
          <w:p>
            <w:pPr>
              <w:spacing w:before="200" w:after="0" w:line="275" w:lineRule="atLeast"/>
              <w:jc w:val="both"/>
            </w:pPr>
            <w:hyperlink r:id="r24">
              <w:r>
                <w:rPr>
                  <w:rFonts w:ascii="Times New Roman" w:hAnsi="Times New Roman"/>
                  <w:color w:val="000000"/>
                  <w:sz w:val="20"/>
                </w:rPr>
                <w:t>2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2006329893003_1"/>
      <w:bookmarkStart w:id="17" w:name="co_headnotesTable_1_1"/>
      <w:tr>
        <w:tblPrEx/>
        <w:trPr/>
        <w:tc>
          <w:tcPr>
            <w:tcMar>
              <w:left w:w="30" w:type="dxa"/>
              <w:right w:w="30" w:type="dxa"/>
            </w:tcMar>
            <w:vAlign w:val="top"/>
          </w:tcPr>
          <w:p>
            <w:pPr>
              <w:spacing w:before="0" w:after="0" w:line="275" w:lineRule="atLeast"/>
            </w:pPr>
            <w:bookmarkStart w:id="18" w:name="co_anchor_F32006329893_1"/>
            <w:bookmarkStart w:id="19" w:name="co_anchor_headNote_[3]_1"/>
            <w:hyperlink w:anchor="co_anchor_B32006329893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25">
              <w:r>
                <w:rPr>
                  <w:rFonts w:ascii="Times New Roman" w:hAnsi="Times New Roman"/>
                  <w:b/>
                  <w:color w:val="000000"/>
                  <w:sz w:val="20"/>
                </w:rPr>
                <w:t>Injunction</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7"/>
                          <a:srcRect/>
                          <a:stretch>
                            <a:fillRect/>
                          </a:stretch>
                        </p:blipFill>
                        <p:spPr>
                          <a:xfrm>
                            <a:off x="0" y="0"/>
                            <a:ext cx="133350" cy="76200"/>
                          </a:xfrm>
                          <a:prstGeom prst="rect"/>
                        </p:spPr>
                      </p:pic>
                    </a:graphicData>
                  </a:graphic>
                </wp:inline>
              </w:drawing>
            </w:r>
            <w:hyperlink r:id="r26">
              <w:r>
                <w:rPr>
                  <w:rFonts w:ascii="Times New Roman" w:hAnsi="Times New Roman"/>
                  <w:color w:val="000000"/>
                  <w:sz w:val="20"/>
                </w:rPr>
                <w:t>Grounds in general;  multiple factors</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7">
              <w:r>
                <w:rPr>
                  <w:rFonts w:ascii="Times New Roman" w:hAnsi="Times New Roman"/>
                  <w:color w:val="000000"/>
                  <w:sz w:val="18"/>
                </w:rPr>
                <w:t>212</w:t>
              </w:r>
            </w:hyperlink>
            <w:r>
              <w:rPr>
                <w:rFonts w:ascii="Times New Roman" w:hAnsi="Times New Roman"/>
                <w:color w:val="000000"/>
                <w:sz w:val="18"/>
              </w:rPr>
              <w:t>Injunction</w:t>
            </w:r>
          </w:p>
          <w:p>
            <w:pPr>
              <w:spacing w:before="0" w:after="0" w:line="255" w:lineRule="atLeast"/>
            </w:pPr>
            <w:hyperlink r:id="r28">
              <w:r>
                <w:rPr>
                  <w:rFonts w:ascii="Times New Roman" w:hAnsi="Times New Roman"/>
                  <w:color w:val="000000"/>
                  <w:sz w:val="18"/>
                </w:rPr>
                <w:t>212II</w:t>
              </w:r>
            </w:hyperlink>
            <w:r>
              <w:rPr>
                <w:rFonts w:ascii="Times New Roman" w:hAnsi="Times New Roman"/>
                <w:color w:val="000000"/>
                <w:sz w:val="18"/>
              </w:rPr>
              <w:t>Preliminary, Temporary, and Interlocutory Injunctions in General</w:t>
            </w:r>
          </w:p>
          <w:p>
            <w:pPr>
              <w:spacing w:before="0" w:after="0" w:line="255" w:lineRule="atLeast"/>
            </w:pPr>
            <w:hyperlink r:id="r29">
              <w:r>
                <w:rPr>
                  <w:rFonts w:ascii="Times New Roman" w:hAnsi="Times New Roman"/>
                  <w:color w:val="000000"/>
                  <w:sz w:val="18"/>
                </w:rPr>
                <w:t>212II(B)</w:t>
              </w:r>
            </w:hyperlink>
            <w:r>
              <w:rPr>
                <w:rFonts w:ascii="Times New Roman" w:hAnsi="Times New Roman"/>
                <w:color w:val="000000"/>
                <w:sz w:val="18"/>
              </w:rPr>
              <w:t>Factors Considered in General</w:t>
            </w:r>
          </w:p>
          <w:p>
            <w:pPr>
              <w:spacing w:before="0" w:after="0" w:line="255" w:lineRule="atLeast"/>
            </w:pPr>
            <w:hyperlink r:id="r30">
              <w:r>
                <w:rPr>
                  <w:rFonts w:ascii="Times New Roman" w:hAnsi="Times New Roman"/>
                  <w:color w:val="000000"/>
                  <w:sz w:val="18"/>
                </w:rPr>
                <w:t>212k1092</w:t>
              </w:r>
            </w:hyperlink>
            <w:r>
              <w:rPr>
                <w:rFonts w:ascii="Times New Roman" w:hAnsi="Times New Roman"/>
                <w:color w:val="000000"/>
                <w:sz w:val="18"/>
              </w:rPr>
              <w:t>Grounds in general;  multiple factors</w:t>
            </w:r>
          </w:p>
          <w:p>
            <w:pPr>
              <w:spacing w:before="0" w:after="0" w:line="255" w:lineRule="atLeast"/>
            </w:pPr>
            <w:r>
              <w:rPr>
                <w:rFonts w:ascii="Times New Roman" w:hAnsi="Times New Roman"/>
                <w:color w:val="000000"/>
                <w:sz w:val="18"/>
              </w:rPr>
              <w:t>(Formerly 212k138.1)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To obtain a preliminary injunction, the applicant must show that the damage he will suffer may be irreparable if the injunction does not issue, that he is entitled to the relief sought, and must make a prima facie showing that he will prevail on the merits of the case.</w:t>
            </w:r>
          </w:p>
          <w:bookmarkStart w:id="20" w:name="co_headnoteId_2006329893003201803110810"/>
          <w:p>
            <w:pPr>
              <w:spacing w:before="200" w:after="0" w:line="275" w:lineRule="atLeast"/>
              <w:jc w:val="both"/>
            </w:pPr>
            <w:hyperlink r:id="r31">
              <w:r>
                <w:rPr>
                  <w:rFonts w:ascii="Times New Roman" w:hAnsi="Times New Roman"/>
                  <w:color w:val="000000"/>
                  <w:sz w:val="20"/>
                </w:rPr>
                <w:t>1 Cases that cite this headnote</w:t>
              </w:r>
            </w:hyperlink>
          </w:p>
          <w:bookmarkEnd w:id="20"/>
        </w:tc>
      </w:tr>
    </w:tbl>
    <w:p>
      <w:pPr>
        <w:spacing w:before="0" w:after="0" w:line="240" w:lineRule="auto"/>
        <w:rPr>
          <w:sz w:val="20"/>
        </w:rPr>
      </w:pPr>
    </w:p>
    <w:tbl>
      <w:tblPr>
        <w:tblInd w:w="30" w:type="dxa"/>
        <w:tblLayout w:type="fixed"/>
      </w:tblPr>
      <w:tblGrid>
        <w:gridCol w:w="600"/>
        <w:gridCol w:w="4035"/>
      </w:tblGrid>
      <w:bookmarkStart w:id="21" w:name="co_anchor_2006329893004_1"/>
      <w:bookmarkStart w:id="22" w:name="co_headnotesTable_2_1"/>
      <w:tr>
        <w:tblPrEx/>
        <w:trPr/>
        <w:tc>
          <w:tcPr>
            <w:tcMar>
              <w:left w:w="30" w:type="dxa"/>
              <w:right w:w="30" w:type="dxa"/>
            </w:tcMar>
            <w:vAlign w:val="top"/>
          </w:tcPr>
          <w:p>
            <w:pPr>
              <w:spacing w:before="0" w:after="0" w:line="275" w:lineRule="atLeast"/>
            </w:pPr>
            <w:bookmarkStart w:id="23" w:name="co_anchor_F42006329893_1"/>
            <w:bookmarkStart w:id="24" w:name="co_anchor_headNote_[4]_1"/>
            <w:hyperlink w:anchor="co_anchor_B42006329893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32">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7"/>
                          <a:srcRect/>
                          <a:stretch>
                            <a:fillRect/>
                          </a:stretch>
                        </p:blipFill>
                        <p:spPr>
                          <a:xfrm>
                            <a:off x="0" y="0"/>
                            <a:ext cx="133350" cy="76200"/>
                          </a:xfrm>
                          <a:prstGeom prst="rect"/>
                        </p:spPr>
                      </p:pic>
                    </a:graphicData>
                  </a:graphic>
                </wp:inline>
              </w:drawing>
            </w:r>
            <w:hyperlink r:id="r33">
              <w:r>
                <w:rPr>
                  <w:rFonts w:ascii="Times New Roman" w:hAnsi="Times New Roman"/>
                  <w:color w:val="000000"/>
                  <w:sz w:val="20"/>
                </w:rPr>
                <w:t>Preliminary injunction;  temporary restraining order</w:t>
              </w:r>
            </w:hyperlink>
          </w:p>
        </w:tc>
      </w:tr>
      <w:bookmarkEnd w:id="22"/>
      <w:bookmarkEnd w:id="2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4">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35">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36">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37">
              <w:r>
                <w:rPr>
                  <w:rFonts w:ascii="Times New Roman" w:hAnsi="Times New Roman"/>
                  <w:color w:val="000000"/>
                  <w:sz w:val="18"/>
                </w:rPr>
                <w:t>30XVI(D)19</w:t>
              </w:r>
            </w:hyperlink>
            <w:r>
              <w:rPr>
                <w:rFonts w:ascii="Times New Roman" w:hAnsi="Times New Roman"/>
                <w:color w:val="000000"/>
                <w:sz w:val="18"/>
              </w:rPr>
              <w:t>Injunctive Relief</w:t>
            </w:r>
          </w:p>
          <w:p>
            <w:pPr>
              <w:spacing w:before="0" w:after="0" w:line="255" w:lineRule="atLeast"/>
            </w:pPr>
            <w:hyperlink r:id="r38">
              <w:r>
                <w:rPr>
                  <w:rFonts w:ascii="Times New Roman" w:hAnsi="Times New Roman"/>
                  <w:color w:val="000000"/>
                  <w:sz w:val="18"/>
                </w:rPr>
                <w:t>30k3664</w:t>
              </w:r>
            </w:hyperlink>
            <w:r>
              <w:rPr>
                <w:rFonts w:ascii="Times New Roman" w:hAnsi="Times New Roman"/>
                <w:color w:val="000000"/>
                <w:sz w:val="18"/>
              </w:rPr>
              <w:t>Preliminary injunction;  temporary restraining order</w:t>
            </w:r>
          </w:p>
          <w:p>
            <w:pPr>
              <w:spacing w:before="0" w:after="0" w:line="255" w:lineRule="atLeast"/>
            </w:pPr>
            <w:r>
              <w:rPr>
                <w:rFonts w:ascii="Times New Roman" w:hAnsi="Times New Roman"/>
                <w:color w:val="000000"/>
                <w:sz w:val="18"/>
              </w:rPr>
              <w:t>(Formerly 30k954(2), 30k954(1))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denial or dissolution of a preliminary injunction should not be overturned on appeal absent a clear abuse of the trial court's great discretion.</w:t>
            </w:r>
          </w:p>
        </w:tc>
      </w:tr>
    </w:tbl>
    <w:p>
      <w:pPr>
        <w:spacing w:before="0" w:after="0" w:line="240" w:lineRule="auto"/>
        <w:rPr>
          <w:sz w:val="20"/>
        </w:rPr>
      </w:pPr>
    </w:p>
    <w:tbl>
      <w:tblPr>
        <w:tblInd w:w="30" w:type="dxa"/>
        <w:tblLayout w:type="fixed"/>
      </w:tblPr>
      <w:tblGrid>
        <w:gridCol w:w="600"/>
        <w:gridCol w:w="4035"/>
      </w:tblGrid>
      <w:bookmarkStart w:id="25" w:name="co_headnoteId_2006329893004201803110810"/>
      <w:bookmarkStart w:id="26" w:name="co_anchor_2006329893005_1"/>
      <w:bookmarkStart w:id="27" w:name="co_headnotesTable_3_1"/>
      <w:tr>
        <w:tblPrEx/>
        <w:trPr/>
        <w:tc>
          <w:tcPr>
            <w:tcMar>
              <w:left w:w="30" w:type="dxa"/>
              <w:right w:w="30" w:type="dxa"/>
            </w:tcMar>
            <w:vAlign w:val="top"/>
          </w:tcPr>
          <w:p>
            <w:pPr>
              <w:spacing w:before="0" w:after="0" w:line="275" w:lineRule="atLeast"/>
            </w:pPr>
            <w:bookmarkStart w:id="28" w:name="co_anchor_F52006329893_1"/>
            <w:bookmarkStart w:id="29" w:name="co_anchor_headNote_[5]_1"/>
            <w:hyperlink w:anchor="co_anchor_B52006329893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39">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7"/>
                          <a:srcRect/>
                          <a:stretch>
                            <a:fillRect/>
                          </a:stretch>
                        </p:blipFill>
                        <p:spPr>
                          <a:xfrm>
                            <a:off x="0" y="0"/>
                            <a:ext cx="133350" cy="76200"/>
                          </a:xfrm>
                          <a:prstGeom prst="rect"/>
                        </p:spPr>
                      </p:pic>
                    </a:graphicData>
                  </a:graphic>
                </wp:inline>
              </w:drawing>
            </w:r>
            <w:hyperlink r:id="r40">
              <w:r>
                <w:rPr>
                  <w:rFonts w:ascii="Times New Roman" w:hAnsi="Times New Roman"/>
                  <w:color w:val="000000"/>
                  <w:sz w:val="20"/>
                </w:rPr>
                <w:t>Maintenance and repairs</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2">
              <w:r>
                <w:rPr>
                  <w:rFonts w:ascii="Times New Roman" w:hAnsi="Times New Roman"/>
                  <w:color w:val="000000"/>
                  <w:sz w:val="18"/>
                </w:rPr>
                <w:t>405IX</w:t>
              </w:r>
            </w:hyperlink>
            <w:r>
              <w:rPr>
                <w:rFonts w:ascii="Times New Roman" w:hAnsi="Times New Roman"/>
                <w:color w:val="000000"/>
                <w:sz w:val="18"/>
              </w:rPr>
              <w:t>Artificial Ponds, Reservoirs, Channels, Dams, and Other Works</w:t>
            </w:r>
          </w:p>
          <w:p>
            <w:pPr>
              <w:spacing w:before="0" w:after="0" w:line="255" w:lineRule="atLeast"/>
            </w:pPr>
            <w:hyperlink r:id="r43">
              <w:r>
                <w:rPr>
                  <w:rFonts w:ascii="Times New Roman" w:hAnsi="Times New Roman"/>
                  <w:color w:val="000000"/>
                  <w:sz w:val="18"/>
                </w:rPr>
                <w:t>405k1743</w:t>
              </w:r>
            </w:hyperlink>
            <w:r>
              <w:rPr>
                <w:rFonts w:ascii="Times New Roman" w:hAnsi="Times New Roman"/>
                <w:color w:val="000000"/>
                <w:sz w:val="18"/>
              </w:rPr>
              <w:t>Artificial Ponds, Watercourses, Conduits, and Other Works</w:t>
            </w:r>
          </w:p>
          <w:p>
            <w:pPr>
              <w:spacing w:before="0" w:after="0" w:line="255" w:lineRule="atLeast"/>
            </w:pPr>
            <w:hyperlink r:id="r44">
              <w:r>
                <w:rPr>
                  <w:rFonts w:ascii="Times New Roman" w:hAnsi="Times New Roman"/>
                  <w:color w:val="000000"/>
                  <w:sz w:val="18"/>
                </w:rPr>
                <w:t>405k1746</w:t>
              </w:r>
            </w:hyperlink>
            <w:r>
              <w:rPr>
                <w:rFonts w:ascii="Times New Roman" w:hAnsi="Times New Roman"/>
                <w:color w:val="000000"/>
                <w:sz w:val="18"/>
              </w:rPr>
              <w:t>Maintenance and repairs</w:t>
            </w:r>
          </w:p>
          <w:p>
            <w:pPr>
              <w:spacing w:before="0" w:after="0" w:line="255" w:lineRule="atLeast"/>
            </w:pPr>
            <w:r>
              <w:rPr>
                <w:rFonts w:ascii="Times New Roman" w:hAnsi="Times New Roman"/>
                <w:color w:val="000000"/>
                <w:sz w:val="18"/>
              </w:rPr>
              <w:t>(Formerly 405k167(1))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Citizens' group and lakeside property owner failed to make a prima facie case that the Department of Wildlife and Fisheries (DWF) failed to adequately consider the economic and recreational impacts of drawing down lake in the midsummer, which the DWF concluded was necessary in order to dry out and eliminate accumulated organic debris, so as to support the entry of a preliminary injunction, where the record indicated that the DWF considered the various competing interests related to the drawdown, including the economic impact, and determined that the drawdown was the most cost-efficient plan with the greatest chance for success.</w:t>
            </w:r>
          </w:p>
          <w:bookmarkStart w:id="30" w:name="co_headnoteId_2006329893005201803110810"/>
          <w:p>
            <w:pPr>
              <w:spacing w:before="200" w:after="0" w:line="275" w:lineRule="atLeast"/>
              <w:jc w:val="both"/>
            </w:pPr>
            <w:hyperlink r:id="r45">
              <w:r>
                <w:rPr>
                  <w:rFonts w:ascii="Times New Roman" w:hAnsi="Times New Roman"/>
                  <w:color w:val="000000"/>
                  <w:sz w:val="20"/>
                </w:rPr>
                <w:t>1 Cases that cite this headnote</w:t>
              </w:r>
            </w:hyperlink>
          </w:p>
          <w:bookmarkEnd w:id="30"/>
        </w:tc>
      </w:tr>
    </w:tbl>
    <w:p>
      <w:pPr>
        <w:pBdr>
          <w:top w:val="none" w:space="4"/>
        </w:pBdr>
        <w:spacing w:before="200" w:after="0" w:line="275" w:lineRule="atLeast"/>
        <w:jc w:val="both"/>
      </w:pPr>
      <w:bookmarkStart w:id="31" w:name="co_headnotesEnd_1"/>
      <w:bookmarkEnd w:id="31"/>
    </w:p>
    <w:bookmarkStart w:id="32"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32"/>
    <w:p>
      <w:pPr>
        <w:spacing w:before="200" w:after="0" w:line="275" w:lineRule="atLeast"/>
        <w:jc w:val="both"/>
      </w:pPr>
      <w:bookmarkStart w:id="33" w:name="co_pp_sp_735_822_1"/>
      <w:r>
        <w:rPr>
          <w:rFonts w:ascii="Times New Roman" w:hAnsi="Times New Roman"/>
          <w:b/>
          <w:color w:val="000000"/>
          <w:sz w:val="20"/>
        </w:rPr>
        <w:t>*822</w:t>
      </w:r>
      <w:bookmarkEnd w:id="33"/>
      <w:r>
        <w:rPr>
          <w:rFonts w:ascii="Times New Roman" w:hAnsi="Times New Roman"/>
          <w:color w:val="000000"/>
          <w:sz w:val="20"/>
        </w:rPr>
        <w:t xml:space="preserve"> The Pesnell Law Firm by </w:t>
      </w:r>
      <w:hyperlink r:id="r46">
        <w:r>
          <w:rPr>
            <w:rFonts w:ascii="Times New Roman" w:hAnsi="Times New Roman"/>
            <w:color w:val="000000"/>
            <w:sz w:val="20"/>
          </w:rPr>
          <w:t>J. Whitney Pesnell</w:t>
        </w:r>
      </w:hyperlink>
      <w:r>
        <w:rPr>
          <w:rFonts w:ascii="Times New Roman" w:hAnsi="Times New Roman"/>
          <w:color w:val="000000"/>
          <w:sz w:val="20"/>
        </w:rPr>
        <w:t xml:space="preserve">, </w:t>
      </w:r>
      <w:hyperlink r:id="r47">
        <w:r>
          <w:rPr>
            <w:rFonts w:ascii="Times New Roman" w:hAnsi="Times New Roman"/>
            <w:color w:val="000000"/>
            <w:sz w:val="20"/>
          </w:rPr>
          <w:t>Billy R. Pesnell</w:t>
        </w:r>
      </w:hyperlink>
      <w:r>
        <w:rPr>
          <w:rFonts w:ascii="Times New Roman" w:hAnsi="Times New Roman"/>
          <w:color w:val="000000"/>
          <w:sz w:val="20"/>
        </w:rPr>
        <w:t>, Shreveport, for Appellants.</w:t>
      </w:r>
    </w:p>
    <w:p>
      <w:pPr>
        <w:spacing w:before="200" w:after="0" w:line="275" w:lineRule="atLeast"/>
        <w:jc w:val="both"/>
      </w:pPr>
      <w:r>
        <w:rPr>
          <w:rFonts w:ascii="Times New Roman" w:hAnsi="Times New Roman"/>
          <w:color w:val="000000"/>
          <w:sz w:val="20"/>
        </w:rPr>
        <w:t>J. Schuyler Marvin, District Attorney, for Intervenors/Appellees, Bossier Parish Police Jury, Webster Parish Police Jury, and Bienville Parish Police Jury.</w:t>
      </w:r>
    </w:p>
    <w:p>
      <w:pPr>
        <w:spacing w:before="200" w:after="0" w:line="275" w:lineRule="atLeast"/>
        <w:jc w:val="both"/>
      </w:pPr>
      <w:hyperlink r:id="r48">
        <w:r>
          <w:rPr>
            <w:rFonts w:ascii="Times New Roman" w:hAnsi="Times New Roman"/>
            <w:color w:val="000000"/>
            <w:sz w:val="20"/>
          </w:rPr>
          <w:t>Charles C. Foti, Jr.</w:t>
        </w:r>
      </w:hyperlink>
      <w:r>
        <w:rPr>
          <w:rFonts w:ascii="Times New Roman" w:hAnsi="Times New Roman"/>
          <w:color w:val="000000"/>
          <w:sz w:val="20"/>
        </w:rPr>
        <w:t xml:space="preserve">, Attorney General, </w:t>
      </w:r>
      <w:hyperlink r:id="r49">
        <w:r>
          <w:rPr>
            <w:rFonts w:ascii="Times New Roman" w:hAnsi="Times New Roman"/>
            <w:color w:val="000000"/>
            <w:sz w:val="20"/>
          </w:rPr>
          <w:t>Burton P. Guidry</w:t>
        </w:r>
      </w:hyperlink>
      <w:r>
        <w:rPr>
          <w:rFonts w:ascii="Times New Roman" w:hAnsi="Times New Roman"/>
          <w:color w:val="000000"/>
          <w:sz w:val="20"/>
        </w:rPr>
        <w:t xml:space="preserve">, </w:t>
      </w:r>
      <w:hyperlink r:id="r50">
        <w:r>
          <w:rPr>
            <w:rFonts w:ascii="Times New Roman" w:hAnsi="Times New Roman"/>
            <w:color w:val="000000"/>
            <w:sz w:val="20"/>
          </w:rPr>
          <w:t>Charles Francis Perry</w:t>
        </w:r>
      </w:hyperlink>
      <w:r>
        <w:rPr>
          <w:rFonts w:ascii="Times New Roman" w:hAnsi="Times New Roman"/>
          <w:color w:val="000000"/>
          <w:sz w:val="20"/>
        </w:rPr>
        <w:t xml:space="preserve">, </w:t>
      </w:r>
      <w:hyperlink r:id="r51">
        <w:r>
          <w:rPr>
            <w:rFonts w:ascii="Times New Roman" w:hAnsi="Times New Roman"/>
            <w:color w:val="000000"/>
            <w:sz w:val="20"/>
          </w:rPr>
          <w:t>Terry Ford Hessick</w:t>
        </w:r>
      </w:hyperlink>
      <w:r>
        <w:rPr>
          <w:rFonts w:ascii="Times New Roman" w:hAnsi="Times New Roman"/>
          <w:color w:val="000000"/>
          <w:sz w:val="20"/>
        </w:rPr>
        <w:t>, Assistant Attorney Generals, Thomas Michael Landrum, La. Dept. of Wildlife &amp; Fisheries, for Appellees, The State of Louisiana through Louisiana Wildlife and Fisheries Commission, Secretary Dwight Landreneau and the Dept. of Wildlife and Fisheries of the State of Louisiana.</w:t>
      </w:r>
    </w:p>
    <w:p>
      <w:pPr>
        <w:spacing w:before="0" w:after="0" w:line="275" w:lineRule="atLeast"/>
        <w:jc w:val="both"/>
      </w:pPr>
      <w:r>
        <w:rPr>
          <w:rFonts w:ascii="Times New Roman" w:hAnsi="Times New Roman"/>
          <w:color w:val="000000"/>
          <w:sz w:val="20"/>
        </w:rPr>
        <w:t xml:space="preserve">Before </w:t>
      </w:r>
      <w:hyperlink r:id="r52">
        <w:r>
          <w:rPr>
            <w:rFonts w:ascii="Times New Roman" w:hAnsi="Times New Roman"/>
            <w:color w:val="000000"/>
            <w:sz w:val="20"/>
          </w:rPr>
          <w:t>BROWN</w:t>
        </w:r>
      </w:hyperlink>
      <w:r>
        <w:rPr>
          <w:rFonts w:ascii="Times New Roman" w:hAnsi="Times New Roman"/>
          <w:color w:val="000000"/>
          <w:sz w:val="20"/>
        </w:rPr>
        <w:t xml:space="preserve">, </w:t>
      </w:r>
      <w:hyperlink r:id="r53">
        <w:r>
          <w:rPr>
            <w:rFonts w:ascii="Times New Roman" w:hAnsi="Times New Roman"/>
            <w:color w:val="000000"/>
            <w:sz w:val="20"/>
          </w:rPr>
          <w:t>WILLIAMS</w:t>
        </w:r>
      </w:hyperlink>
      <w:r>
        <w:rPr>
          <w:rFonts w:ascii="Times New Roman" w:hAnsi="Times New Roman"/>
          <w:color w:val="000000"/>
          <w:sz w:val="20"/>
        </w:rPr>
        <w:t xml:space="preserve"> and GASKINS, JJ.</w:t>
      </w:r>
    </w:p>
    <w:bookmarkStart w:id="34" w:name="co_opinion_1"/>
    <w:p>
      <w:pPr>
        <w:keepNext/>
        <w:keepLines/>
        <w:spacing w:before="200" w:after="0" w:line="275" w:lineRule="atLeast"/>
        <w:jc w:val="both"/>
      </w:pPr>
      <w:r>
        <w:rPr>
          <w:rFonts w:ascii="Times New Roman" w:hAnsi="Times New Roman"/>
          <w:b/>
          <w:color w:val="212121"/>
          <w:sz w:val="20"/>
        </w:rPr>
        <w:t>Opinion</w:t>
      </w:r>
    </w:p>
    <w:bookmarkEnd w:id="34"/>
    <w:bookmarkStart w:id="35" w:name="co_anchor_Ia0c1a68da5a611eabea3f0dc9fb6"/>
    <w:p>
      <w:pPr>
        <w:spacing w:before="200" w:after="0" w:line="275" w:lineRule="atLeast"/>
        <w:jc w:val="both"/>
      </w:pPr>
      <w:bookmarkStart w:id="36" w:name="co_pp_sp_4362_1_1"/>
      <w:r>
        <w:rPr>
          <w:rFonts w:ascii="Times New Roman" w:hAnsi="Times New Roman"/>
          <w:b/>
          <w:color w:val="000000"/>
          <w:sz w:val="20"/>
        </w:rPr>
        <w:t>**1</w:t>
      </w:r>
      <w:bookmarkEnd w:id="36"/>
      <w:r>
        <w:rPr>
          <w:rFonts w:ascii="Times New Roman" w:hAnsi="Times New Roman"/>
          <w:color w:val="000000"/>
          <w:sz w:val="20"/>
        </w:rPr>
        <w:t xml:space="preserve"> GASKINS, J.</w:t>
      </w:r>
    </w:p>
    <w:bookmarkEnd w:id="35"/>
    <w:bookmarkStart w:id="37" w:name="co_anchor_Ia0c1a68fa5a611eabea3f0dc9fb6"/>
    <w:p>
      <w:pPr>
        <w:spacing w:before="200" w:after="0" w:line="275" w:lineRule="atLeast"/>
        <w:jc w:val="both"/>
      </w:pPr>
      <w:r>
        <w:rPr>
          <w:rFonts w:ascii="Times New Roman" w:hAnsi="Times New Roman"/>
          <w:color w:val="000000"/>
          <w:sz w:val="20"/>
        </w:rPr>
        <w:t>The plaintiffs, Lake Bistineau Preservation Society, Inc. (LBPS),</w:t>
      </w:r>
      <w:bookmarkStart w:id="38" w:name="co_fnRef_B00112006329893_ID0EKGAE_1"/>
      <w:hyperlink w:anchor="co_footnote_B00112006329893_1">
        <w:r>
          <w:rPr>
            <w:rFonts w:ascii="Times New Roman" w:hAnsi="Times New Roman"/>
            <w:color w:val="000000"/>
            <w:sz w:val="16"/>
            <w:vertAlign w:val="superscript"/>
          </w:rPr>
          <w:t>1</w:t>
        </w:r>
      </w:hyperlink>
      <w:bookmarkEnd w:id="38"/>
      <w:r>
        <w:rPr>
          <w:rFonts w:ascii="Times New Roman" w:hAnsi="Times New Roman"/>
          <w:color w:val="000000"/>
          <w:sz w:val="20"/>
        </w:rPr>
        <w:t xml:space="preserve"> and H.F. Anderson,</w:t>
      </w:r>
      <w:bookmarkStart w:id="39" w:name="co_fnRef_B00222006329893_ID0ERGAE_1"/>
      <w:hyperlink w:anchor="co_footnote_B00222006329893_1">
        <w:r>
          <w:rPr>
            <w:rFonts w:ascii="Times New Roman" w:hAnsi="Times New Roman"/>
            <w:color w:val="000000"/>
            <w:sz w:val="16"/>
            <w:vertAlign w:val="superscript"/>
          </w:rPr>
          <w:t>2</w:t>
        </w:r>
      </w:hyperlink>
      <w:bookmarkEnd w:id="39"/>
      <w:r>
        <w:rPr>
          <w:rFonts w:ascii="Times New Roman" w:hAnsi="Times New Roman"/>
          <w:color w:val="000000"/>
          <w:sz w:val="20"/>
        </w:rPr>
        <w:t xml:space="preserve"> appeal from a trial court judgment which denied their request for a preliminary injunction to prevent implementation of a plan to lower the water level of Lake Bistineau. We affirm.</w:t>
      </w:r>
    </w:p>
    <w:bookmarkEnd w:id="37"/>
    <w:p>
      <w:pPr>
        <w:spacing w:before="0" w:after="0" w:line="275" w:lineRule="atLeast"/>
        <w:jc w:val="both"/>
      </w:pPr>
      <w:r>
        <w:rPr>
          <w:rFonts w:ascii="Times New Roman" w:hAnsi="Times New Roman"/>
          <w:color w:val="000000"/>
          <w:sz w:val="20"/>
        </w:rPr>
        <w:t> </w:t>
      </w:r>
    </w:p>
    <w:bookmarkStart w:id="40" w:name="co_anchor_Ia0c1a690a5a611eabea3f0dc9fb6"/>
    <w:bookmarkStart w:id="41" w:name="co_anchor_Ia0c1a690a5a611eabea3f0dc92"/>
    <w:p>
      <w:pPr>
        <w:spacing w:before="600" w:after="0" w:line="275" w:lineRule="atLeast"/>
        <w:jc w:val="center"/>
      </w:pPr>
      <w:r>
        <w:rPr>
          <w:rFonts w:ascii="Times New Roman" w:hAnsi="Times New Roman"/>
          <w:color w:val="000000"/>
          <w:sz w:val="20"/>
        </w:rPr>
        <w:t>FACTS</w:t>
      </w:r>
    </w:p>
    <w:bookmarkEnd w:id="41"/>
    <w:bookmarkEnd w:id="40"/>
    <w:p>
      <w:pPr>
        <w:spacing w:before="200" w:after="0" w:line="275" w:lineRule="atLeast"/>
        <w:jc w:val="both"/>
      </w:pPr>
      <w:r>
        <w:rPr>
          <w:rFonts w:ascii="Times New Roman" w:hAnsi="Times New Roman"/>
          <w:color w:val="000000"/>
          <w:sz w:val="20"/>
        </w:rPr>
        <w:t xml:space="preserve">Lake Bistineau is a 17,200 acre lake or impounded water reservoir located in Bossier, Bienville and Webster Parishes which is essentially a “cypress swamp.” Historically it has had problems with heavy infestations of water hyacinth, alligator weed and submerged native aquatic vegetation. These plants, in conjunction with leaf litter </w:t>
      </w:r>
      <w:bookmarkStart w:id="42" w:name="co_pp_sp_735_823_1"/>
      <w:r>
        <w:rPr>
          <w:rFonts w:ascii="Times New Roman" w:hAnsi="Times New Roman"/>
          <w:b/>
          <w:color w:val="000000"/>
          <w:sz w:val="20"/>
        </w:rPr>
        <w:t>*823</w:t>
      </w:r>
      <w:bookmarkEnd w:id="42"/>
      <w:r>
        <w:rPr>
          <w:rFonts w:ascii="Times New Roman" w:hAnsi="Times New Roman"/>
          <w:color w:val="000000"/>
          <w:sz w:val="20"/>
        </w:rPr>
        <w:t xml:space="preserve"> from the cypress canopy, have caused a considerable accumulation of organic matter on the lake bed. These factors have caused a decline in the fisheries, resulting in the loss of a spawning habitat of desirable sport fish such as bass. Also, some areas of the lake have become so choked with aquatic vegetation and built-up “muck” they are nearly impassable to boat traffic; this also has adversely affected recreational water activities.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response to these problems, the Department of Wildlife and Fisheries of the State of Louisiana (DWF) formulated a plan to improve the lake through a series of drawdowns. A drawdown involves opening the gates on the control structure to allow water to flow out to a certain level. This plan called for the water level in Lake Bistineau to be lowered seven feet below its normal pool stage from July 15 of each year until January 31 </w:t>
      </w:r>
      <w:bookmarkStart w:id="43" w:name="co_pp_sp_4362_2_1"/>
      <w:r>
        <w:rPr>
          <w:rFonts w:ascii="Times New Roman" w:hAnsi="Times New Roman"/>
          <w:b/>
          <w:color w:val="000000"/>
          <w:sz w:val="20"/>
        </w:rPr>
        <w:t>**2</w:t>
      </w:r>
      <w:bookmarkEnd w:id="43"/>
      <w:r>
        <w:rPr>
          <w:rFonts w:ascii="Times New Roman" w:hAnsi="Times New Roman"/>
          <w:color w:val="000000"/>
          <w:sz w:val="20"/>
        </w:rPr>
        <w:t xml:space="preserve"> of the following year for three consecutive years, beginning July 15, 2004. A successful drawdown allows the organic material on the bottom of the lake to be exposed to sunlight and to dry out until it cracks. Drying out with heat and sunlight and exposure to air allow for aerobic decomposition of the organic matter on the lake bottom.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plaintiffs filed suit on July 1, 2004, seeking a declaratory judgment and injunctive relief. Named as defendants were the Wildlife and Fisheries Commission of the State of Louisiana; the DWF; and the secretary of that department, William Dwight Landreneau. The suit sought a judgment declaring that the defendants had exceeded their powers and authority under the Louisiana Constitution by approving and adopting its plan to lower the water level in Lake Bistineau from July 15 until January 31 for three years.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According to the plaintiffs' petition, when the lake is full with a water level of 141 feet, it covers about 17,500 acres of land. However, when lowered to 134 feet, the water surface is reduced to 7,500 acres while 10,000 acres is exposed. Thus, lowering the lake level will restrict the ability of homeowners, camp owners and commercial marinas to use the lake and will interfere with their property rights.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plaintiffs alleged that the plan adopted by the defendants exceeds their constitutional powers and is an arbitrary and capricious abuse of the defendants' discretion.</w:t>
      </w:r>
      <w:r>
        <w:rPr>
          <w:rFonts w:ascii="Times New Roman" w:hAnsi="Times New Roman"/>
          <w:color w:val="000000"/>
          <w:sz w:val="20"/>
        </w:rPr>
        <w:t xml:space="preserve"> They contend that the defendants failed to balance the environmental costs and benefits of the plan against its economic and recreational costs. The plaintiffs also complain that the defendants did not </w:t>
      </w:r>
      <w:bookmarkStart w:id="44" w:name="co_pp_sp_4362_3_1"/>
      <w:r>
        <w:rPr>
          <w:rFonts w:ascii="Times New Roman" w:hAnsi="Times New Roman"/>
          <w:b/>
          <w:color w:val="000000"/>
          <w:sz w:val="20"/>
        </w:rPr>
        <w:t>**3</w:t>
      </w:r>
      <w:bookmarkEnd w:id="44"/>
      <w:r>
        <w:rPr>
          <w:rFonts w:ascii="Times New Roman" w:hAnsi="Times New Roman"/>
          <w:color w:val="000000"/>
          <w:sz w:val="20"/>
        </w:rPr>
        <w:t xml:space="preserve"> create a record adequately setting out the basic facts and establishing a rational connection between its findings and the decision made, as required under </w:t>
      </w:r>
      <w:hyperlink r:id="r54">
        <w:r>
          <w:rPr>
            <w:rFonts w:ascii="Times New Roman" w:hAnsi="Times New Roman"/>
            <w:color w:val="000000"/>
            <w:sz w:val="30"/>
          </w:rPr>
          <w:drawing>
            <wp:inline>
              <wp:extent cx="161925" cy="161925"/>
              <wp:docPr id="11" name="Picture 2"/>
              <a:graphic>
                <a:graphicData uri="http://schemas.openxmlformats.org/drawingml/2006/picture">
                  <p:pic>
                    <p:nvPicPr>
                      <p:cNvPr id="12" name="Picture 2"/>
                      <p:cNvPicPr/>
                    </p:nvPicPr>
                    <p:blipFill>
                      <a:blip r:embed="r56"/>
                      <a:srcRect/>
                      <a:stretch>
                        <a:fillRect/>
                      </a:stretch>
                    </p:blipFill>
                    <p:spPr>
                      <a:xfrm>
                        <a:off x="0" y="0"/>
                        <a:ext cx="161925" cy="161925"/>
                      </a:xfrm>
                      <a:prstGeom prst="rect"/>
                    </p:spPr>
                  </p:pic>
                </a:graphicData>
              </a:graphic>
            </wp:inline>
          </w:drawing>
        </w:r>
      </w:hyperlink>
      <w:hyperlink r:id="r55">
        <w:r>
          <w:rPr>
            <w:rFonts w:ascii="Times New Roman" w:hAnsi="Times New Roman"/>
            <w:i/>
            <w:color w:val="000000"/>
            <w:sz w:val="20"/>
          </w:rPr>
          <w:t>Save Ourselves, Inc. v. Louisiana Environmental Control Commission,</w:t>
        </w:r>
        <w:r>
          <w:rPr>
            <w:rFonts w:ascii="Times New Roman" w:hAnsi="Times New Roman"/>
            <w:color w:val="000000"/>
            <w:sz w:val="20"/>
          </w:rPr>
          <w:t xml:space="preserve"> 452 So.2d 1152 (La.1984)</w:t>
        </w:r>
      </w:hyperlink>
      <w:r>
        <w:rPr>
          <w:rFonts w:ascii="Times New Roman" w:hAnsi="Times New Roman"/>
          <w:color w:val="000000"/>
          <w:sz w:val="20"/>
        </w:rPr>
        <w:t>. The plaintiffs also maintain that the defendants failed to consult with other state and federal agencies that have the obligation to protect and conserve resources, e.g., the U.S. Army Corps of Engineers and the Environmental Protection Agency.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 petition of intervention was filed by the governing bodies of the parishes in which Lake Bistineau lies: the Bossier Parish Police Jury, the Webster Parish Police Jury, and the Bienville Parish Police Jury. They asserted that the proposed plan was reasonable and in the best interest of the lake and nearby property owners. They further contended that DWF had properly balanced the environmental costs and benefits along with the economic, social and financial factors. The intervenors opposed the issuance of the preliminary injunction sought by the plaintiffs.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Several exceptions were filed on behalf of the defendants. Filed on July 9, 2004, were the following: an exception of prematurity </w:t>
      </w:r>
      <w:bookmarkStart w:id="45" w:name="co_pp_sp_735_824_1"/>
      <w:r>
        <w:rPr>
          <w:rFonts w:ascii="Times New Roman" w:hAnsi="Times New Roman"/>
          <w:b/>
          <w:color w:val="000000"/>
          <w:sz w:val="20"/>
        </w:rPr>
        <w:t>*824</w:t>
      </w:r>
      <w:bookmarkEnd w:id="45"/>
      <w:r>
        <w:rPr>
          <w:rFonts w:ascii="Times New Roman" w:hAnsi="Times New Roman"/>
          <w:color w:val="000000"/>
          <w:sz w:val="20"/>
        </w:rPr>
        <w:t xml:space="preserve"> based upon no complained-of actions having commenced; exception of no cause of action by all plaintiffs based on lack of standing by the plaintiffs; exception of no right of action by LBPS because a corporation has no personal right of action to “enjoy the scenic beauties and qualities of Lake Bistineau”; and exception of improper venue, claiming that the 19th Judicial District Court in East Baton Rouge Parish is the proper venue for suit against DWF. Also filed on July 9, 2004, was the defendants' limited answer to the rule for </w:t>
      </w:r>
      <w:bookmarkStart w:id="46" w:name="co_pp_sp_4362_4_1"/>
      <w:r>
        <w:rPr>
          <w:rFonts w:ascii="Times New Roman" w:hAnsi="Times New Roman"/>
          <w:b/>
          <w:color w:val="000000"/>
          <w:sz w:val="20"/>
        </w:rPr>
        <w:t>**4</w:t>
      </w:r>
      <w:bookmarkEnd w:id="46"/>
      <w:r>
        <w:rPr>
          <w:rFonts w:ascii="Times New Roman" w:hAnsi="Times New Roman"/>
          <w:color w:val="000000"/>
          <w:sz w:val="20"/>
        </w:rPr>
        <w:t xml:space="preserve"> preliminary injunction in which they pled 10 affirmative defenses or exceptions. Among other things, the defendants asserted that LBPS is a “sham” corporation. In an ex parte motion, the defendants sought disclosure of any possible basis for judicial recusal.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 hearing was held on July 14, 2004. The defendants waived their exception of prematurity. The trial court denied the exceptions of improper venue and no right of action. It found that the plaintiffs had standing. By agreement, the Wildlife and Fisheries Commission was dismissed from the suit.</w:t>
      </w:r>
      <w:bookmarkStart w:id="47" w:name="co_fnRef_B00332006329893_ID0EMPAE_1"/>
      <w:hyperlink w:anchor="co_footnote_B00332006329893_1">
        <w:r>
          <w:rPr>
            <w:rFonts w:ascii="Times New Roman" w:hAnsi="Times New Roman"/>
            <w:color w:val="000000"/>
            <w:sz w:val="16"/>
            <w:vertAlign w:val="superscript"/>
          </w:rPr>
          <w:t>3</w:t>
        </w:r>
      </w:hyperlink>
      <w:bookmarkEnd w:id="47"/>
      <w:r>
        <w:rPr>
          <w:rFonts w:ascii="Times New Roman" w:hAnsi="Times New Roman"/>
          <w:color w:val="000000"/>
          <w:sz w:val="20"/>
        </w:rPr>
        <w:t xml:space="preserve"> The judge declined to recuse himself as he had no interest in the lake.</w:t>
      </w:r>
      <w:bookmarkStart w:id="48" w:name="co_fnRef_B00442006329893_ID0ETPAE_1"/>
      <w:hyperlink w:anchor="co_footnote_B00442006329893_1">
        <w:r>
          <w:rPr>
            <w:rFonts w:ascii="Times New Roman" w:hAnsi="Times New Roman"/>
            <w:color w:val="000000"/>
            <w:sz w:val="16"/>
            <w:vertAlign w:val="superscript"/>
          </w:rPr>
          <w:t>4</w:t>
        </w:r>
      </w:hyperlink>
      <w:bookmarkEnd w:id="48"/>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their testimony, John Roussel, DWF assistant secretary, and James Seales, the District I fisheries biologist supervisor, suggested that their plan was the only feasible method to control the aquatic growth of exotic plants in the lake from time to time. Over the years, these plants can overgrow and negatively impact recreational uses of the lake. Their testimony indicated that a drawdown with a July 15 start date would allow the best drying action for the lake bottom while minimizing the impact on recreational activities. Anderson testified that he only questioned the timing of the plan, as the lake previously was lowered after Labor Day. He stated that the lake is used extensively from July 4 to Labor Day.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its written opinion issued on July 15, 2004, the trial court noted that the plaintiffs essentially challenged the record that DWF used to implement the drawdown plan because it supposedly did not consider </w:t>
      </w:r>
      <w:bookmarkStart w:id="49" w:name="co_pp_sp_4362_5_1"/>
      <w:r>
        <w:rPr>
          <w:rFonts w:ascii="Times New Roman" w:hAnsi="Times New Roman"/>
          <w:b/>
          <w:color w:val="000000"/>
          <w:sz w:val="20"/>
        </w:rPr>
        <w:t>**5</w:t>
      </w:r>
      <w:bookmarkEnd w:id="49"/>
      <w:r>
        <w:rPr>
          <w:rFonts w:ascii="Times New Roman" w:hAnsi="Times New Roman"/>
          <w:color w:val="000000"/>
          <w:sz w:val="20"/>
        </w:rPr>
        <w:t xml:space="preserve"> economic and other factors.</w:t>
      </w:r>
      <w:r>
        <w:rPr>
          <w:rFonts w:ascii="Times New Roman" w:hAnsi="Times New Roman"/>
          <w:color w:val="000000"/>
          <w:sz w:val="20"/>
        </w:rPr>
        <w:t xml:space="preserve"> The court distinguished the </w:t>
      </w:r>
      <w:r>
        <w:rPr>
          <w:rFonts w:ascii="Times New Roman" w:hAnsi="Times New Roman"/>
          <w:i/>
          <w:color w:val="000000"/>
          <w:sz w:val="20"/>
        </w:rPr>
        <w:t>Save Ourselves</w:t>
      </w:r>
      <w:r>
        <w:rPr>
          <w:rFonts w:ascii="Times New Roman" w:hAnsi="Times New Roman"/>
          <w:color w:val="000000"/>
          <w:sz w:val="20"/>
        </w:rPr>
        <w:t xml:space="preserve"> case, which involved the Environmental Control Commission (ECC) and its regulations. The trial court found no such exacting regulations in the present case. Based upon the testimony of the DWF witnesses, the court found that all of the factors suggested by the plaintiffs were considered in a manner consistent with </w:t>
      </w:r>
      <w:hyperlink r:id="r57">
        <w:r>
          <w:rPr>
            <w:rFonts w:ascii="Times New Roman" w:hAnsi="Times New Roman"/>
            <w:color w:val="000000"/>
            <w:sz w:val="20"/>
          </w:rPr>
          <w:t>La. Const. art. 9, § 1</w:t>
        </w:r>
      </w:hyperlink>
      <w:r>
        <w:rPr>
          <w:rFonts w:ascii="Times New Roman" w:hAnsi="Times New Roman"/>
          <w:color w:val="000000"/>
          <w:sz w:val="20"/>
        </w:rPr>
        <w:t>, otherwise known as the “Public Trust Doctrine.” The court also concluded that the plan set forth by DWF was the only feasible plan for controlling aquatic growth of exotic plants in Lake Bistineau. The application for preliminary injunction was denied at the plaintiffs' costs. Judgment was signed on July 21, 2004.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plaintiffs filed a devolutive appeal.</w:t>
      </w:r>
    </w:p>
    <w:p>
      <w:pPr>
        <w:spacing w:before="0" w:after="0" w:line="275" w:lineRule="atLeast"/>
        <w:jc w:val="both"/>
      </w:pPr>
      <w:r>
        <w:rPr>
          <w:rFonts w:ascii="Times New Roman" w:hAnsi="Times New Roman"/>
          <w:color w:val="000000"/>
          <w:sz w:val="20"/>
        </w:rPr>
        <w:t> </w:t>
      </w:r>
    </w:p>
    <w:bookmarkStart w:id="50" w:name="co_anchor_Ia0c1a691a5a611eabea3f0dc9fb6"/>
    <w:bookmarkStart w:id="51" w:name="co_anchor_Ia0c1a691a5a611eabea3f0dc92"/>
    <w:p>
      <w:pPr>
        <w:spacing w:before="600" w:after="0" w:line="275" w:lineRule="atLeast"/>
        <w:jc w:val="center"/>
      </w:pPr>
      <w:r>
        <w:rPr>
          <w:rFonts w:ascii="Times New Roman" w:hAnsi="Times New Roman"/>
          <w:color w:val="000000"/>
          <w:sz w:val="20"/>
        </w:rPr>
        <w:t>MOTION TO DISMISS</w:t>
      </w:r>
    </w:p>
    <w:bookmarkEnd w:id="51"/>
    <w:bookmarkEnd w:id="50"/>
    <w:p>
      <w:pPr>
        <w:spacing w:before="200" w:after="0" w:line="275" w:lineRule="atLeast"/>
        <w:jc w:val="both"/>
      </w:pPr>
      <w:hyperlink w:anchor="co_anchor_F12006329893_1">
        <w:r>
          <w:rPr>
            <w:rFonts w:ascii="Times New Roman" w:hAnsi="Times New Roman"/>
            <w:b/>
            <w:color w:val="000000"/>
            <w:sz w:val="20"/>
            <w:bdr w:val="none" w:space="2"/>
            <w:vertAlign w:val="superscript"/>
          </w:rPr>
          <w:t>[1]</w:t>
        </w:r>
      </w:hyperlink>
      <w:bookmarkStart w:id="52" w:name="co_anchor_B12006329893_1"/>
      <w:bookmarkEnd w:id="52"/>
      <w:r>
        <w:rPr>
          <w:rFonts w:ascii="Times New Roman" w:hAnsi="Times New Roman"/>
          <w:color w:val="000000"/>
          <w:sz w:val="20"/>
        </w:rPr>
        <w:t xml:space="preserve"> The defendants and intervenors filed a motion to dismiss the appeal. They argue that since the lake was lowered after the denial of the preliminary injunction, the appeal is moot because the act sought to be enjoined has already been accomplished. Although the plaintiffs characterize DWF's proposal as a three-year “plan,” the defendants assert that any future </w:t>
      </w:r>
      <w:bookmarkStart w:id="53" w:name="co_pp_sp_735_825_1"/>
      <w:r>
        <w:rPr>
          <w:rFonts w:ascii="Times New Roman" w:hAnsi="Times New Roman"/>
          <w:b/>
          <w:color w:val="000000"/>
          <w:sz w:val="20"/>
        </w:rPr>
        <w:t>*825</w:t>
      </w:r>
      <w:bookmarkEnd w:id="53"/>
      <w:r>
        <w:rPr>
          <w:rFonts w:ascii="Times New Roman" w:hAnsi="Times New Roman"/>
          <w:color w:val="000000"/>
          <w:sz w:val="20"/>
        </w:rPr>
        <w:t xml:space="preserve"> drawdowns depend upon analysis of the success of the initial drawdown; thus, there is no justiciable issue before this court. In support of this motion, the defendants filed an affidavit by Bennie Fontenot, the administrator of the Inland Fisheries Division of DWF. He stated that immediately after the denial of the request for preliminary injunction, the lake was lowered and DWF planned to allow the lake to refill in January/February 2005.</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54" w:name="co_pp_sp_4362_6_1"/>
      <w:r>
        <w:rPr>
          <w:rFonts w:ascii="Times New Roman" w:hAnsi="Times New Roman"/>
          <w:b/>
          <w:color w:val="000000"/>
          <w:sz w:val="20"/>
        </w:rPr>
        <w:t>**6</w:t>
      </w:r>
      <w:bookmarkEnd w:id="54"/>
      <w:r>
        <w:rPr>
          <w:rFonts w:ascii="Times New Roman" w:hAnsi="Times New Roman"/>
          <w:color w:val="000000"/>
          <w:sz w:val="20"/>
        </w:rPr>
        <w:t xml:space="preserve"> In November 2004, this court referred the motion to dismiss the appeal to the merits. Finding that this matter is one “capable of repetition, yet evading review”</w:t>
      </w:r>
      <w:bookmarkStart w:id="55" w:name="co_fnRef_B00552006329893_ID0EXVAE_1"/>
      <w:hyperlink w:anchor="co_footnote_B00552006329893_1">
        <w:r>
          <w:rPr>
            <w:rFonts w:ascii="Times New Roman" w:hAnsi="Times New Roman"/>
            <w:color w:val="000000"/>
            <w:sz w:val="16"/>
            <w:vertAlign w:val="superscript"/>
          </w:rPr>
          <w:t>5</w:t>
        </w:r>
      </w:hyperlink>
      <w:bookmarkEnd w:id="55"/>
      <w:r>
        <w:rPr>
          <w:rFonts w:ascii="Times New Roman" w:hAnsi="Times New Roman"/>
          <w:color w:val="000000"/>
          <w:sz w:val="20"/>
        </w:rPr>
        <w:t xml:space="preserve"> and thus not rendered moot, we now deny the motion.</w:t>
      </w:r>
    </w:p>
    <w:p>
      <w:pPr>
        <w:spacing w:before="0" w:after="0" w:line="275" w:lineRule="atLeast"/>
        <w:jc w:val="both"/>
      </w:pPr>
      <w:r>
        <w:rPr>
          <w:rFonts w:ascii="Times New Roman" w:hAnsi="Times New Roman"/>
          <w:color w:val="000000"/>
          <w:sz w:val="20"/>
        </w:rPr>
        <w:t> </w:t>
      </w:r>
    </w:p>
    <w:bookmarkStart w:id="56" w:name="co_anchor_Ia0c1a692a5a611eabea3f0dc9fb6"/>
    <w:bookmarkStart w:id="57" w:name="co_anchor_Ia0c1a692a5a611eabea3f0dc92"/>
    <w:p>
      <w:pPr>
        <w:spacing w:before="600" w:after="0" w:line="275" w:lineRule="atLeast"/>
        <w:jc w:val="center"/>
      </w:pPr>
      <w:r>
        <w:rPr>
          <w:rFonts w:ascii="Times New Roman" w:hAnsi="Times New Roman"/>
          <w:color w:val="000000"/>
          <w:sz w:val="20"/>
        </w:rPr>
        <w:t>ARGUMENT</w:t>
      </w:r>
    </w:p>
    <w:bookmarkEnd w:id="57"/>
    <w:bookmarkEnd w:id="56"/>
    <w:p>
      <w:pPr>
        <w:spacing w:before="200" w:after="0" w:line="275" w:lineRule="atLeast"/>
        <w:jc w:val="both"/>
      </w:pPr>
      <w:r>
        <w:rPr>
          <w:rFonts w:ascii="Times New Roman" w:hAnsi="Times New Roman"/>
          <w:color w:val="000000"/>
          <w:sz w:val="20"/>
        </w:rPr>
        <w:t xml:space="preserve">The plaintiffs argue that the crucial issue here is whether the defendants properly considered the economic impact of the drawdowns on the businesses on the lake and the other impacts upon those who use the lake for recreational purposes. They contend that the defendants exceeded their authority and violated their constitutional and statutory duties. Since the case involved the application for a preliminary injunction, they maintain that the trial court should have focused on whether they made a </w:t>
      </w:r>
      <w:r>
        <w:rPr>
          <w:rFonts w:ascii="Times New Roman" w:hAnsi="Times New Roman"/>
          <w:i/>
          <w:color w:val="000000"/>
          <w:sz w:val="20"/>
        </w:rPr>
        <w:t>prima facie</w:t>
      </w:r>
      <w:r>
        <w:rPr>
          <w:rFonts w:ascii="Times New Roman" w:hAnsi="Times New Roman"/>
          <w:color w:val="000000"/>
          <w:sz w:val="20"/>
        </w:rPr>
        <w:t xml:space="preserve"> showing that the DWF plan was invalid or that the DWF failed to perform its fiduciary duties as primary public trustee of the lake by adequately considering the economic and recreational impacts of the plan.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defendants assert that the evidence showed that the lake was in need of immediate action to solve the problem with the overgrowth. The plan established by the DWF was a “fluid” plan reacting to changing circumstances. The defendants insist that they have fulfilled their responsibility as a public trustee to make sure that adverse environmental impacts have been minimized as much as possible. They distinguish the </w:t>
      </w:r>
      <w:r>
        <w:rPr>
          <w:rFonts w:ascii="Times New Roman" w:hAnsi="Times New Roman"/>
          <w:i/>
          <w:color w:val="000000"/>
          <w:sz w:val="20"/>
        </w:rPr>
        <w:t>Save Ourselves</w:t>
      </w:r>
      <w:r>
        <w:rPr>
          <w:rFonts w:ascii="Times New Roman" w:hAnsi="Times New Roman"/>
          <w:color w:val="000000"/>
          <w:sz w:val="20"/>
        </w:rPr>
        <w:t xml:space="preserve"> case as involving the failure of the ECC to follow its own mandatory statutes, whereas the DWF has no such statutes or regulations. Also, they argue that the Public Trust Doctrine as set forth in the </w:t>
      </w:r>
      <w:r>
        <w:rPr>
          <w:rFonts w:ascii="Times New Roman" w:hAnsi="Times New Roman"/>
          <w:i/>
          <w:color w:val="000000"/>
          <w:sz w:val="20"/>
        </w:rPr>
        <w:t xml:space="preserve">Save </w:t>
      </w:r>
      <w:bookmarkStart w:id="58" w:name="co_pp_sp_4362_7_1"/>
      <w:r>
        <w:rPr>
          <w:rFonts w:ascii="Times New Roman" w:hAnsi="Times New Roman"/>
          <w:b/>
          <w:color w:val="000000"/>
          <w:sz w:val="20"/>
        </w:rPr>
        <w:t>**7</w:t>
      </w:r>
      <w:bookmarkEnd w:id="58"/>
      <w:r>
        <w:rPr>
          <w:rFonts w:ascii="Times New Roman" w:hAnsi="Times New Roman"/>
          <w:i/>
          <w:color w:val="000000"/>
          <w:sz w:val="20"/>
        </w:rPr>
        <w:t xml:space="preserve"> Ourselves</w:t>
      </w:r>
      <w:r>
        <w:rPr>
          <w:rFonts w:ascii="Times New Roman" w:hAnsi="Times New Roman"/>
          <w:color w:val="000000"/>
          <w:sz w:val="20"/>
        </w:rPr>
        <w:t xml:space="preserve"> case has been almost exclusively applied to challenge permit decisions by the Department of Environmental Quality or its predecessor, the ECC. In support of its arguments, the defendants cite </w:t>
      </w:r>
      <w:hyperlink r:id="r58">
        <w:r>
          <w:rPr>
            <w:rFonts w:ascii="Times New Roman" w:hAnsi="Times New Roman"/>
            <w:color w:val="000000"/>
            <w:sz w:val="30"/>
          </w:rPr>
          <w:drawing>
            <wp:inline>
              <wp:extent cx="161925" cy="161925"/>
              <wp:docPr id="13" name="Picture 2"/>
              <a:graphic>
                <a:graphicData uri="http://schemas.openxmlformats.org/drawingml/2006/picture">
                  <p:pic>
                    <p:nvPicPr>
                      <p:cNvPr id="14" name="Picture 2"/>
                      <p:cNvPicPr/>
                    </p:nvPicPr>
                    <p:blipFill>
                      <a:blip r:embed="r56"/>
                      <a:srcRect/>
                      <a:stretch>
                        <a:fillRect/>
                      </a:stretch>
                    </p:blipFill>
                    <p:spPr>
                      <a:xfrm>
                        <a:off x="0" y="0"/>
                        <a:ext cx="161925" cy="161925"/>
                      </a:xfrm>
                      <a:prstGeom prst="rect"/>
                    </p:spPr>
                  </p:pic>
                </a:graphicData>
              </a:graphic>
            </wp:inline>
          </w:drawing>
        </w:r>
      </w:hyperlink>
      <w:hyperlink r:id="r59">
        <w:r>
          <w:rPr>
            <w:rFonts w:ascii="Times New Roman" w:hAnsi="Times New Roman"/>
            <w:i/>
            <w:color w:val="000000"/>
            <w:sz w:val="20"/>
          </w:rPr>
          <w:t>Avenal v. State of Louisiana,</w:t>
        </w:r>
        <w:r>
          <w:rPr>
            <w:rFonts w:ascii="Times New Roman" w:hAnsi="Times New Roman"/>
            <w:color w:val="000000"/>
            <w:sz w:val="20"/>
          </w:rPr>
          <w:t xml:space="preserve"> 2003–3521 (La.10/19/04), 886 So.2d 1085,</w:t>
        </w:r>
      </w:hyperlink>
      <w:r>
        <w:rPr>
          <w:rFonts w:ascii="Times New Roman" w:hAnsi="Times New Roman"/>
          <w:color w:val="000000"/>
          <w:sz w:val="20"/>
        </w:rPr>
        <w:t xml:space="preserve"> where the court found that the state had a duty to preserve the Louisiana coast.</w:t>
      </w:r>
      <w:r>
        <w:rPr>
          <w:rFonts w:ascii="Times New Roman" w:hAnsi="Times New Roman"/>
          <w:color w:val="000000"/>
          <w:sz w:val="20"/>
        </w:rPr>
        <w:t xml:space="preserve"> Likewise, the DWF has an obligation to preserve Lake Bistineau. Even though the defendants maintain that there was no mandatory balancing process, they argue that the testimony of its staff members showed that they did all they could to lessen adverse impact on the lake's recreational users.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Counsel for the intervenors adopted the brief filed by the defendants.</w:t>
      </w:r>
    </w:p>
    <w:p>
      <w:pPr>
        <w:spacing w:before="0" w:after="0" w:line="275" w:lineRule="atLeast"/>
        <w:jc w:val="both"/>
      </w:pPr>
      <w:r>
        <w:rPr>
          <w:rFonts w:ascii="Times New Roman" w:hAnsi="Times New Roman"/>
          <w:color w:val="000000"/>
          <w:sz w:val="20"/>
        </w:rPr>
        <w:t> </w:t>
      </w:r>
    </w:p>
    <w:bookmarkStart w:id="59" w:name="co_anchor_Ia0c1a693a5a611eabea3f0dc9fb6"/>
    <w:bookmarkStart w:id="60" w:name="co_anchor_Ia0c1a693a5a611eabea3f0dc92"/>
    <w:p>
      <w:pPr>
        <w:spacing w:before="600" w:after="0" w:line="275" w:lineRule="atLeast"/>
        <w:jc w:val="center"/>
      </w:pPr>
      <w:r>
        <w:rPr>
          <w:rFonts w:ascii="Times New Roman" w:hAnsi="Times New Roman"/>
          <w:color w:val="000000"/>
          <w:sz w:val="20"/>
        </w:rPr>
        <w:t>LAW</w:t>
      </w:r>
    </w:p>
    <w:bookmarkEnd w:id="60"/>
    <w:bookmarkEnd w:id="59"/>
    <w:p>
      <w:pPr>
        <w:spacing w:before="200" w:after="0" w:line="275" w:lineRule="atLeast"/>
        <w:jc w:val="both"/>
      </w:pPr>
      <w:hyperlink w:anchor="co_anchor_F22006329893_1">
        <w:r>
          <w:rPr>
            <w:rFonts w:ascii="Times New Roman" w:hAnsi="Times New Roman"/>
            <w:b/>
            <w:color w:val="000000"/>
            <w:sz w:val="20"/>
            <w:bdr w:val="none" w:space="2"/>
            <w:vertAlign w:val="superscript"/>
          </w:rPr>
          <w:t>[2]</w:t>
        </w:r>
      </w:hyperlink>
      <w:bookmarkStart w:id="61" w:name="co_anchor_B22006329893_1"/>
      <w:bookmarkEnd w:id="61"/>
      <w:r>
        <w:rPr>
          <w:rFonts w:ascii="Times New Roman" w:hAnsi="Times New Roman"/>
          <w:color w:val="000000"/>
          <w:sz w:val="20"/>
        </w:rPr>
        <w:t xml:space="preserve"> </w:t>
      </w:r>
      <w:hyperlink w:anchor="co_anchor_F32006329893_1">
        <w:r>
          <w:rPr>
            <w:rFonts w:ascii="Times New Roman" w:hAnsi="Times New Roman"/>
            <w:b/>
            <w:color w:val="000000"/>
            <w:sz w:val="20"/>
            <w:bdr w:val="none" w:space="2"/>
            <w:vertAlign w:val="superscript"/>
          </w:rPr>
          <w:t>[3]</w:t>
        </w:r>
      </w:hyperlink>
      <w:bookmarkStart w:id="62" w:name="co_anchor_B32006329893_1"/>
      <w:bookmarkEnd w:id="62"/>
      <w:r>
        <w:rPr>
          <w:rFonts w:ascii="Times New Roman" w:hAnsi="Times New Roman"/>
          <w:color w:val="000000"/>
          <w:sz w:val="20"/>
        </w:rPr>
        <w:t xml:space="preserve"> A preliminary injunction is an interlocutory procedural device designed to preserve the existing status pending a trial of the issues on the merits of the case. </w:t>
      </w:r>
      <w:hyperlink r:id="r60">
        <w:r>
          <w:rPr>
            <w:rFonts w:ascii="Times New Roman" w:hAnsi="Times New Roman"/>
            <w:i/>
            <w:color w:val="000000"/>
            <w:sz w:val="20"/>
          </w:rPr>
          <w:t>HCNO Services, Inc. v. Secure Computing Systems, Inc.,</w:t>
        </w:r>
        <w:r>
          <w:rPr>
            <w:rFonts w:ascii="Times New Roman" w:hAnsi="Times New Roman"/>
            <w:color w:val="000000"/>
            <w:sz w:val="20"/>
          </w:rPr>
          <w:t xml:space="preserve"> 96–1693 (La.App. 4th Cir.4/23/97), 693 So.2d 835,</w:t>
        </w:r>
      </w:hyperlink>
      <w:r>
        <w:rPr>
          <w:rFonts w:ascii="Times New Roman" w:hAnsi="Times New Roman"/>
          <w:color w:val="000000"/>
          <w:sz w:val="20"/>
        </w:rPr>
        <w:t xml:space="preserve"> </w:t>
      </w:r>
      <w:r>
        <w:rPr>
          <w:rFonts w:ascii="Times New Roman" w:hAnsi="Times New Roman"/>
          <w:i/>
          <w:color w:val="000000"/>
          <w:sz w:val="20"/>
        </w:rPr>
        <w:t>writ denied,</w:t>
      </w:r>
      <w:r>
        <w:rPr>
          <w:rFonts w:ascii="Times New Roman" w:hAnsi="Times New Roman"/>
          <w:color w:val="000000"/>
          <w:sz w:val="20"/>
        </w:rPr>
        <w:t xml:space="preserve"> </w:t>
      </w:r>
      <w:hyperlink r:id="r61">
        <w:r>
          <w:rPr>
            <w:rFonts w:ascii="Times New Roman" w:hAnsi="Times New Roman"/>
            <w:color w:val="000000"/>
            <w:sz w:val="20"/>
          </w:rPr>
          <w:t>97–1353 (La.9/5/97), 700 So.2d 513.</w:t>
        </w:r>
      </w:hyperlink>
      <w:r>
        <w:rPr>
          <w:rFonts w:ascii="Times New Roman" w:hAnsi="Times New Roman"/>
          <w:color w:val="000000"/>
          <w:sz w:val="20"/>
        </w:rPr>
        <w:t xml:space="preserve"> To obtain a preliminary injunction, the applicant must show that the damage he will suffer may be irreparable if the injunction does not issue, that he is entitled to the </w:t>
      </w:r>
      <w:bookmarkStart w:id="63" w:name="co_pp_sp_735_826_1"/>
      <w:r>
        <w:rPr>
          <w:rFonts w:ascii="Times New Roman" w:hAnsi="Times New Roman"/>
          <w:b/>
          <w:color w:val="000000"/>
          <w:sz w:val="20"/>
        </w:rPr>
        <w:t>*826</w:t>
      </w:r>
      <w:bookmarkEnd w:id="63"/>
      <w:r>
        <w:rPr>
          <w:rFonts w:ascii="Times New Roman" w:hAnsi="Times New Roman"/>
          <w:color w:val="000000"/>
          <w:sz w:val="20"/>
        </w:rPr>
        <w:t xml:space="preserve"> relief sought, and must make a </w:t>
      </w:r>
      <w:r>
        <w:rPr>
          <w:rFonts w:ascii="Times New Roman" w:hAnsi="Times New Roman"/>
          <w:i/>
          <w:color w:val="000000"/>
          <w:sz w:val="20"/>
        </w:rPr>
        <w:t>prima facie</w:t>
      </w:r>
      <w:r>
        <w:rPr>
          <w:rFonts w:ascii="Times New Roman" w:hAnsi="Times New Roman"/>
          <w:color w:val="000000"/>
          <w:sz w:val="20"/>
        </w:rPr>
        <w:t xml:space="preserve"> showing that he will prevail on the merits of the case. </w:t>
      </w:r>
      <w:r>
        <w:rPr>
          <w:rFonts w:ascii="Times New Roman" w:hAnsi="Times New Roman"/>
          <w:i/>
          <w:color w:val="000000"/>
          <w:sz w:val="20"/>
        </w:rPr>
        <w:t>HCNO Services, Inc., supra.</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06329893_1">
        <w:r>
          <w:rPr>
            <w:rFonts w:ascii="Times New Roman" w:hAnsi="Times New Roman"/>
            <w:b/>
            <w:color w:val="000000"/>
            <w:sz w:val="20"/>
            <w:bdr w:val="none" w:space="2"/>
            <w:vertAlign w:val="superscript"/>
          </w:rPr>
          <w:t>[4]</w:t>
        </w:r>
      </w:hyperlink>
      <w:bookmarkStart w:id="64" w:name="co_anchor_B42006329893_1"/>
      <w:bookmarkEnd w:id="64"/>
      <w:r>
        <w:rPr>
          <w:rFonts w:ascii="Times New Roman" w:hAnsi="Times New Roman"/>
          <w:color w:val="000000"/>
          <w:sz w:val="20"/>
        </w:rPr>
        <w:t xml:space="preserve"> The denial or dissolution of a preliminary injunction should not be overturned on appeal absent a clear abuse of the trial court's great discretion. </w:t>
      </w:r>
      <w:hyperlink r:id="r62">
        <w:r>
          <w:rPr>
            <w:rFonts w:ascii="Times New Roman" w:hAnsi="Times New Roman"/>
            <w:color w:val="000000"/>
            <w:sz w:val="30"/>
          </w:rPr>
          <w:drawing>
            <wp:inline>
              <wp:extent cx="161925" cy="161925"/>
              <wp:docPr id="15" name="Picture 2"/>
              <a:graphic>
                <a:graphicData uri="http://schemas.openxmlformats.org/drawingml/2006/picture">
                  <p:pic>
                    <p:nvPicPr>
                      <p:cNvPr id="16" name="Picture 2"/>
                      <p:cNvPicPr/>
                    </p:nvPicPr>
                    <p:blipFill>
                      <a:blip r:embed="r56"/>
                      <a:srcRect/>
                      <a:stretch>
                        <a:fillRect/>
                      </a:stretch>
                    </p:blipFill>
                    <p:spPr>
                      <a:xfrm>
                        <a:off x="0" y="0"/>
                        <a:ext cx="161925" cy="161925"/>
                      </a:xfrm>
                      <a:prstGeom prst="rect"/>
                    </p:spPr>
                  </p:pic>
                </a:graphicData>
              </a:graphic>
            </wp:inline>
          </w:drawing>
        </w:r>
      </w:hyperlink>
      <w:hyperlink r:id="r63">
        <w:r>
          <w:rPr>
            <w:rFonts w:ascii="Times New Roman" w:hAnsi="Times New Roman"/>
            <w:i/>
            <w:color w:val="000000"/>
            <w:sz w:val="20"/>
          </w:rPr>
          <w:t>Wallace C. Drennan, Inc. v. Sewerage &amp; Water Board of New Orleans,</w:t>
        </w:r>
        <w:r>
          <w:rPr>
            <w:rFonts w:ascii="Times New Roman" w:hAnsi="Times New Roman"/>
            <w:color w:val="000000"/>
            <w:sz w:val="20"/>
          </w:rPr>
          <w:t xml:space="preserve"> 2000–1146 (La.App. 4th Cir.10/3/01), 798 So.2d 1167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65" w:name="co_pp_sp_4362_8_1"/>
      <w:r>
        <w:rPr>
          <w:rFonts w:ascii="Times New Roman" w:hAnsi="Times New Roman"/>
          <w:b/>
          <w:color w:val="000000"/>
          <w:sz w:val="20"/>
        </w:rPr>
        <w:t>**8</w:t>
      </w:r>
      <w:bookmarkEnd w:id="65"/>
      <w:r>
        <w:rPr>
          <w:rFonts w:ascii="Times New Roman" w:hAnsi="Times New Roman"/>
          <w:color w:val="000000"/>
          <w:sz w:val="20"/>
        </w:rPr>
        <w:t xml:space="preserve"> The “Public Trust Doctrine” is embodied in </w:t>
      </w:r>
      <w:hyperlink r:id="r64">
        <w:r>
          <w:rPr>
            <w:rFonts w:ascii="Times New Roman" w:hAnsi="Times New Roman"/>
            <w:color w:val="000000"/>
            <w:sz w:val="20"/>
          </w:rPr>
          <w:t>La. Const. art. 9, § 1</w:t>
        </w:r>
      </w:hyperlink>
      <w:r>
        <w:rPr>
          <w:rFonts w:ascii="Times New Roman" w:hAnsi="Times New Roman"/>
          <w:color w:val="000000"/>
          <w:sz w:val="20"/>
        </w:rPr>
        <w:t>, and provides:</w:t>
      </w:r>
    </w:p>
    <w:p>
      <w:pPr>
        <w:spacing w:before="200" w:after="0" w:line="275" w:lineRule="atLeast"/>
        <w:ind w:left="480" w:right="480" w:firstLine="0"/>
        <w:jc w:val="both"/>
      </w:pPr>
      <w:r>
        <w:rPr>
          <w:rFonts w:ascii="Times New Roman" w:hAnsi="Times New Roman"/>
          <w:color w:val="000000"/>
          <w:sz w:val="20"/>
        </w:rPr>
        <w:t>The natural resources of the state, including air and water, and the healthful, scenic, historic, and esthetic quality of the environment shall be protected, conserved, and replenished insofar as possible and consistent with the health, safety, and welfare of the people. The legislature shall enact laws to implement this policy.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the </w:t>
      </w:r>
      <w:r>
        <w:rPr>
          <w:rFonts w:ascii="Times New Roman" w:hAnsi="Times New Roman"/>
          <w:i/>
          <w:color w:val="000000"/>
          <w:sz w:val="20"/>
        </w:rPr>
        <w:t>Save Ourselves</w:t>
      </w:r>
      <w:r>
        <w:rPr>
          <w:rFonts w:ascii="Times New Roman" w:hAnsi="Times New Roman"/>
          <w:color w:val="000000"/>
          <w:sz w:val="20"/>
        </w:rPr>
        <w:t xml:space="preserve"> case, the Louisiana Supreme Court considered this doctrine:</w:t>
      </w:r>
    </w:p>
    <w:p>
      <w:pPr>
        <w:spacing w:before="200" w:after="0" w:line="275" w:lineRule="atLeast"/>
        <w:ind w:left="200" w:right="0" w:firstLine="0"/>
        <w:jc w:val="both"/>
      </w:pPr>
      <w:r>
        <w:rPr>
          <w:rFonts w:ascii="Times New Roman" w:hAnsi="Times New Roman"/>
          <w:color w:val="000000"/>
          <w:sz w:val="20"/>
        </w:rPr>
        <w:t xml:space="preserve">The Constitutional standard requires environmental protection “insofar as possible and consistent with the health, safety, and welfare of the people.” </w:t>
      </w:r>
      <w:hyperlink r:id="r65">
        <w:r>
          <w:rPr>
            <w:rFonts w:ascii="Times New Roman" w:hAnsi="Times New Roman"/>
            <w:color w:val="000000"/>
            <w:sz w:val="20"/>
          </w:rPr>
          <w:t>La. Const. art. IX § 1</w:t>
        </w:r>
      </w:hyperlink>
      <w:r>
        <w:rPr>
          <w:rFonts w:ascii="Times New Roman" w:hAnsi="Times New Roman"/>
          <w:color w:val="000000"/>
          <w:sz w:val="20"/>
        </w:rPr>
        <w:t xml:space="preserve">. </w:t>
      </w:r>
      <w:r>
        <w:rPr>
          <w:rFonts w:ascii="Times New Roman" w:hAnsi="Times New Roman"/>
          <w:b/>
          <w:i/>
          <w:color w:val="000000"/>
          <w:sz w:val="20"/>
        </w:rPr>
        <w:t>This is a rule of reasonableness which requires an agency or official, before granting approval of proposed action affecting the environment, to determine that adverse environmental impacts have been minimized or avoided as much as possible consistently with the public welfare.</w:t>
      </w:r>
      <w:r>
        <w:rPr>
          <w:rFonts w:ascii="Times New Roman" w:hAnsi="Times New Roman"/>
          <w:color w:val="000000"/>
          <w:sz w:val="20"/>
        </w:rPr>
        <w:t xml:space="preserve"> Thus, the constitution does not establish environmental protection as an exclusive goal, but requires a balancing process in which environmental costs and benefits must be given full and careful consideration along with economic, social and other factors.</w:t>
      </w:r>
    </w:p>
    <w:p>
      <w:pPr>
        <w:spacing w:before="200" w:after="0" w:line="275" w:lineRule="atLeast"/>
        <w:ind w:left="200" w:right="0" w:firstLine="0"/>
        <w:jc w:val="both"/>
      </w:pPr>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The environmental protection framework vests in the [ECC] a latitude of discretion to determine the substantive results in each particular case. Environmental amenities will often be in conflict with economic and social considerations. To consider the former along with the latter must involve a balancing process. In some instances environmental costs may outweigh economic and social benefits and in other instances they may not. This leaves room for a responsible exercise of discretion and may not require particular substantive results in particular problematic instances. [Emphasis ours.]</w:t>
      </w:r>
    </w:p>
    <w:p>
      <w:pPr>
        <w:spacing w:before="0" w:after="0" w:line="275" w:lineRule="atLeast"/>
        <w:jc w:val="both"/>
      </w:pPr>
      <w:r>
        <w:rPr>
          <w:rFonts w:ascii="Times New Roman" w:hAnsi="Times New Roman"/>
          <w:color w:val="000000"/>
          <w:sz w:val="20"/>
        </w:rPr>
        <w:t> </w:t>
      </w:r>
    </w:p>
    <w:bookmarkStart w:id="66" w:name="co_anchor_Ia0c1a694a5a611eabea3f0dc9fb6"/>
    <w:bookmarkStart w:id="67" w:name="co_anchor_Ia0c1a694a5a611eabea3f0dc92"/>
    <w:p>
      <w:pPr>
        <w:spacing w:before="600" w:after="0" w:line="275" w:lineRule="atLeast"/>
        <w:jc w:val="center"/>
      </w:pPr>
      <w:r>
        <w:rPr>
          <w:rFonts w:ascii="Times New Roman" w:hAnsi="Times New Roman"/>
          <w:color w:val="000000"/>
          <w:sz w:val="20"/>
        </w:rPr>
        <w:t>DISCUSSION</w:t>
      </w:r>
    </w:p>
    <w:bookmarkEnd w:id="67"/>
    <w:bookmarkEnd w:id="66"/>
    <w:p>
      <w:pPr>
        <w:spacing w:before="200" w:after="0" w:line="275" w:lineRule="atLeast"/>
        <w:jc w:val="both"/>
      </w:pPr>
      <w:hyperlink w:anchor="co_anchor_F52006329893_1">
        <w:r>
          <w:rPr>
            <w:rFonts w:ascii="Times New Roman" w:hAnsi="Times New Roman"/>
            <w:b/>
            <w:color w:val="000000"/>
            <w:sz w:val="20"/>
            <w:bdr w:val="none" w:space="2"/>
            <w:vertAlign w:val="superscript"/>
          </w:rPr>
          <w:t>[5]</w:t>
        </w:r>
      </w:hyperlink>
      <w:bookmarkStart w:id="68" w:name="co_anchor_B52006329893_1"/>
      <w:bookmarkEnd w:id="68"/>
      <w:r>
        <w:rPr>
          <w:rFonts w:ascii="Times New Roman" w:hAnsi="Times New Roman"/>
          <w:color w:val="000000"/>
          <w:sz w:val="20"/>
        </w:rPr>
        <w:t xml:space="preserve"> DWF's drawdown plan was geared to “try and slow the aging process of the lake, improve suitable spawning habitat, control the submerged aquatic vegetation and improve the fisheries habitat on Lake Bistineau.” As pointed out by DWF, a drawdown is not a new method of treating problems </w:t>
      </w:r>
      <w:bookmarkStart w:id="69" w:name="co_pp_sp_4362_9_1"/>
      <w:r>
        <w:rPr>
          <w:rFonts w:ascii="Times New Roman" w:hAnsi="Times New Roman"/>
          <w:b/>
          <w:color w:val="000000"/>
          <w:sz w:val="20"/>
        </w:rPr>
        <w:t>**9</w:t>
      </w:r>
      <w:bookmarkEnd w:id="69"/>
      <w:r>
        <w:rPr>
          <w:rFonts w:ascii="Times New Roman" w:hAnsi="Times New Roman"/>
          <w:color w:val="000000"/>
          <w:sz w:val="20"/>
        </w:rPr>
        <w:t xml:space="preserve"> at Lake Bistineau. While a 1983 drawdown was successful in killing unwanted vegetation, fall/winter drawdowns in 1996 and 2000 were only partially successful due to heavy rains.</w:t>
      </w:r>
      <w:r>
        <w:rPr>
          <w:rFonts w:ascii="Times New Roman" w:hAnsi="Times New Roman"/>
          <w:color w:val="000000"/>
          <w:sz w:val="20"/>
        </w:rPr>
        <w:t xml:space="preserve"> Because of these results, DWF concluded that a fall/winter drawdown in a typical year would not provide enough drying action on the lake bottom. (Fall/winter drawdowns generally begin after Labor Day.) Instead, a mid-summer/winter drawdown was considered to be the most effective method of ensuring maximum drying action.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Dredging, which is “extremely costly,” was rejected by DWF as not being economically feasible. Also, the presence of the cypress canopy prevented aerial spraying, and some areas of the lake are inaccessible by boat. However, to the extent possible, aggressive spraying was part of DWF's plan.</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70" w:name="co_pp_sp_735_827_1"/>
      <w:r>
        <w:rPr>
          <w:rFonts w:ascii="Times New Roman" w:hAnsi="Times New Roman"/>
          <w:b/>
          <w:color w:val="000000"/>
          <w:sz w:val="20"/>
        </w:rPr>
        <w:t>*827</w:t>
      </w:r>
      <w:bookmarkEnd w:id="70"/>
      <w:r>
        <w:rPr>
          <w:rFonts w:ascii="Times New Roman" w:hAnsi="Times New Roman"/>
          <w:color w:val="000000"/>
          <w:sz w:val="20"/>
        </w:rPr>
        <w:t xml:space="preserve"> From an economic viewpoint, the drawdown is the least expensive; it involves opening the gates of the lake control structure. Dredging was estimated to cost in the tens of millions, as would the microbial insertion method suggested by the plaintiffs.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Seales, the biologist who formulated the habitat management plan at issue here, testified that he considered all aspects—environmental, geographical, people—and his plan was the most reasonable, feasible, and economic one that DWF could develop. He readily conceded that he was not an economist, and it was stipulated that no research on property values was conducted. However, he was aware of information from residents and business owners about the decline of, respectively, their property values and </w:t>
      </w:r>
      <w:bookmarkStart w:id="71" w:name="co_pp_sp_4362_10_1"/>
      <w:r>
        <w:rPr>
          <w:rFonts w:ascii="Times New Roman" w:hAnsi="Times New Roman"/>
          <w:b/>
          <w:color w:val="000000"/>
          <w:sz w:val="20"/>
        </w:rPr>
        <w:t>**10</w:t>
      </w:r>
      <w:bookmarkEnd w:id="71"/>
      <w:r>
        <w:rPr>
          <w:rFonts w:ascii="Times New Roman" w:hAnsi="Times New Roman"/>
          <w:color w:val="000000"/>
          <w:sz w:val="20"/>
        </w:rPr>
        <w:t xml:space="preserve"> businesses due to the deteriorating habitat. He testified that DWF had received numerous complaints about the accumulated “muck” and vegetation which were obstructing access to properties on the lake.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Under the Public Trust Doctrine, DWF has an obligation to protect the Louisiana environment. It is readily apparent that various factors must be considered in pursuit of this goal. However, like the trial court, we do not find that DWF has the same extensive regulations that bound the ECC in the </w:t>
      </w:r>
      <w:r>
        <w:rPr>
          <w:rFonts w:ascii="Times New Roman" w:hAnsi="Times New Roman"/>
          <w:i/>
          <w:color w:val="000000"/>
          <w:sz w:val="20"/>
        </w:rPr>
        <w:t>Save Ourselves</w:t>
      </w:r>
      <w:r>
        <w:rPr>
          <w:rFonts w:ascii="Times New Roman" w:hAnsi="Times New Roman"/>
          <w:color w:val="000000"/>
          <w:sz w:val="20"/>
        </w:rPr>
        <w:t xml:space="preserve"> case.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Contrary to the plaintiffs' assertions, they did not make a </w:t>
      </w:r>
      <w:r>
        <w:rPr>
          <w:rFonts w:ascii="Times New Roman" w:hAnsi="Times New Roman"/>
          <w:i/>
          <w:color w:val="000000"/>
          <w:sz w:val="20"/>
        </w:rPr>
        <w:t>prima facie</w:t>
      </w:r>
      <w:r>
        <w:rPr>
          <w:rFonts w:ascii="Times New Roman" w:hAnsi="Times New Roman"/>
          <w:color w:val="000000"/>
          <w:sz w:val="20"/>
        </w:rPr>
        <w:t xml:space="preserve"> case that DWF failed to adequately consider the economic and recreational impacts of the plan. DWF considered all relevant factors, including the economic impact upon marina owners. While there will be a temporary negative impact upon such business owners, the evidence indicates that they would also suffer long-term adverse effects if no action was taken to remedy the ever increasing problem with the accumulating muck and aquatic vegetation. In fact, Seales testified that some areas of the lake may already have suffered irreparable injury.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record indicates that, to the extent that it was required to do so, DWF considered the various and competing interests related to the drawdown and reached a decision as to the best and most reasonable course to follow. In addition to being the most cost-efficient, the plan adopted by DWF also appears to have the greatest chance of success. Unfortunately for the plaintiffs, the plan simply had an earlier start date than they preferred.</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72" w:name="co_pp_sp_4362_11_1"/>
      <w:r>
        <w:rPr>
          <w:rFonts w:ascii="Times New Roman" w:hAnsi="Times New Roman"/>
          <w:b/>
          <w:color w:val="000000"/>
          <w:sz w:val="20"/>
        </w:rPr>
        <w:t>**11</w:t>
      </w:r>
      <w:bookmarkEnd w:id="72"/>
      <w:r>
        <w:rPr>
          <w:rFonts w:ascii="Times New Roman" w:hAnsi="Times New Roman"/>
          <w:color w:val="000000"/>
          <w:sz w:val="20"/>
        </w:rPr>
        <w:t xml:space="preserve"> We affirm the trial court's judgment. We note that this denial of a preliminary injunction directly addresses an action that has already occurred, the first drawdown. This ruling does not prevent a trial on the merits which may be held prior to the next scheduled drawdown. At that time, any intervening or new considerations may be presented, including the results of the first drawdown.</w:t>
      </w:r>
    </w:p>
    <w:p>
      <w:pPr>
        <w:spacing w:before="0" w:after="0" w:line="275" w:lineRule="atLeast"/>
        <w:jc w:val="both"/>
      </w:pPr>
      <w:r>
        <w:rPr>
          <w:rFonts w:ascii="Times New Roman" w:hAnsi="Times New Roman"/>
          <w:color w:val="000000"/>
          <w:sz w:val="20"/>
        </w:rPr>
        <w:t> </w:t>
      </w:r>
    </w:p>
    <w:bookmarkStart w:id="73" w:name="co_anchor_Ia0c1a695a5a611eabea3f0dc9fb6"/>
    <w:bookmarkStart w:id="74" w:name="co_anchor_Ia0c1a695a5a611eabea3f0dc92"/>
    <w:p>
      <w:pPr>
        <w:spacing w:before="600" w:after="0" w:line="275" w:lineRule="atLeast"/>
        <w:jc w:val="center"/>
      </w:pPr>
      <w:r>
        <w:rPr>
          <w:rFonts w:ascii="Times New Roman" w:hAnsi="Times New Roman"/>
          <w:color w:val="000000"/>
          <w:sz w:val="20"/>
        </w:rPr>
        <w:t>CONCLUSION</w:t>
      </w:r>
    </w:p>
    <w:bookmarkEnd w:id="74"/>
    <w:bookmarkEnd w:id="73"/>
    <w:p>
      <w:pPr>
        <w:spacing w:before="200" w:after="0" w:line="275" w:lineRule="atLeast"/>
        <w:jc w:val="both"/>
      </w:pPr>
      <w:r>
        <w:rPr>
          <w:rFonts w:ascii="Times New Roman" w:hAnsi="Times New Roman"/>
          <w:color w:val="000000"/>
          <w:sz w:val="20"/>
        </w:rPr>
        <w:t>The trial court judgment denying the plaintiffs' application for preliminary injunction is affirmed. Costs of this appeal are assessed against the plaintiffs, Lake Bistineau Preservation Society, Inc., and H.F. Anderson.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bookmarkStart w:id="75" w:name="co_allCitations_1"/>
    <w:p>
      <w:pPr>
        <w:keepNext/>
        <w:keepLines/>
        <w:spacing w:before="200" w:after="0" w:line="275" w:lineRule="atLeast"/>
        <w:jc w:val="both"/>
      </w:pPr>
      <w:r>
        <w:rPr>
          <w:rFonts w:ascii="Times New Roman" w:hAnsi="Times New Roman"/>
          <w:b/>
          <w:color w:val="212121"/>
          <w:sz w:val="20"/>
        </w:rPr>
        <w:t>All Citations</w:t>
      </w:r>
    </w:p>
    <w:bookmarkEnd w:id="75"/>
    <w:p>
      <w:pPr>
        <w:spacing w:before="200" w:after="0" w:line="275" w:lineRule="atLeast"/>
        <w:jc w:val="both"/>
      </w:pPr>
      <w:r>
        <w:rPr>
          <w:rFonts w:ascii="Times New Roman" w:hAnsi="Times New Roman"/>
          <w:color w:val="000000"/>
          <w:sz w:val="20"/>
        </w:rPr>
        <w:t>895 So.2d 821, 39,369 (La.App. 2 Cir. 3/9/05)</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76" w:name="co_footnote_B00112006329893_1"/>
            <w:hyperlink w:anchor="co_fnRef_B00112006329893_ID0EKGAE_1">
              <w:r>
                <w:rPr>
                  <w:rFonts w:ascii="Times New Roman" w:hAnsi="Times New Roman"/>
                  <w:color w:val="000000"/>
                  <w:sz w:val="20"/>
                  <w:vertAlign w:val="superscript"/>
                </w:rPr>
                <w:t>1</w:t>
              </w:r>
            </w:hyperlink>
            <w:bookmarkEnd w:id="76"/>
          </w:p>
        </w:tc>
        <w:tc>
          <w:tcPr>
            <w:vAlign w:val="top"/>
          </w:tcPr>
          <w:p>
            <w:pPr>
              <w:spacing w:before="0" w:after="0" w:line="275" w:lineRule="atLeast"/>
              <w:jc w:val="both"/>
            </w:pPr>
            <w:r>
              <w:rPr>
                <w:rFonts w:ascii="Times New Roman" w:hAnsi="Times New Roman"/>
                <w:color w:val="000000"/>
                <w:sz w:val="20"/>
              </w:rPr>
              <w:t>LBPS is a nonprofit membership corporation formed to preserve Lake Bistineau. Its members include homeowners, camp owners, business owners, and persons who use the lake for recreational purposes.</w:t>
            </w:r>
          </w:p>
        </w:tc>
      </w:tr>
      <w:tr>
        <w:tblPrEx/>
        <w:trPr/>
        <w:tc>
          <w:tcPr>
            <w:vAlign w:val="top"/>
          </w:tcPr>
          <w:p>
            <w:pPr>
              <w:spacing w:before="0" w:after="0" w:line="275" w:lineRule="atLeast"/>
            </w:pPr>
            <w:bookmarkStart w:id="77" w:name="co_footnote_B00222006329893_1"/>
            <w:hyperlink w:anchor="co_fnRef_B00222006329893_ID0ERGAE_1">
              <w:r>
                <w:rPr>
                  <w:rFonts w:ascii="Times New Roman" w:hAnsi="Times New Roman"/>
                  <w:color w:val="000000"/>
                  <w:sz w:val="20"/>
                  <w:vertAlign w:val="superscript"/>
                </w:rPr>
                <w:t>2</w:t>
              </w:r>
            </w:hyperlink>
            <w:bookmarkEnd w:id="77"/>
          </w:p>
        </w:tc>
        <w:tc>
          <w:tcPr>
            <w:vAlign w:val="top"/>
          </w:tcPr>
          <w:p>
            <w:pPr>
              <w:spacing w:before="0" w:after="0" w:line="275" w:lineRule="atLeast"/>
              <w:jc w:val="both"/>
            </w:pPr>
            <w:r>
              <w:rPr>
                <w:rFonts w:ascii="Times New Roman" w:hAnsi="Times New Roman"/>
                <w:color w:val="000000"/>
                <w:sz w:val="20"/>
              </w:rPr>
              <w:t>Anderson owns a camp on the lake. He is also president of LBPS.</w:t>
            </w:r>
          </w:p>
        </w:tc>
      </w:tr>
      <w:tr>
        <w:tblPrEx/>
        <w:trPr/>
        <w:tc>
          <w:tcPr>
            <w:vAlign w:val="top"/>
          </w:tcPr>
          <w:p>
            <w:pPr>
              <w:spacing w:before="0" w:after="0" w:line="275" w:lineRule="atLeast"/>
            </w:pPr>
            <w:bookmarkStart w:id="78" w:name="co_footnote_B00332006329893_1"/>
            <w:hyperlink w:anchor="co_fnRef_B00332006329893_ID0EMPAE_1">
              <w:r>
                <w:rPr>
                  <w:rFonts w:ascii="Times New Roman" w:hAnsi="Times New Roman"/>
                  <w:color w:val="000000"/>
                  <w:sz w:val="20"/>
                  <w:vertAlign w:val="superscript"/>
                </w:rPr>
                <w:t>3</w:t>
              </w:r>
            </w:hyperlink>
            <w:bookmarkEnd w:id="78"/>
          </w:p>
        </w:tc>
        <w:tc>
          <w:tcPr>
            <w:vAlign w:val="top"/>
          </w:tcPr>
          <w:p>
            <w:pPr>
              <w:spacing w:before="0" w:after="0" w:line="275" w:lineRule="atLeast"/>
              <w:jc w:val="both"/>
            </w:pPr>
            <w:r>
              <w:rPr>
                <w:rFonts w:ascii="Times New Roman" w:hAnsi="Times New Roman"/>
                <w:color w:val="000000"/>
                <w:sz w:val="20"/>
              </w:rPr>
              <w:t>On July 14, 2004, the plaintiffs filed a first amending petition in which they removed the Wildlife and Fisheries Commission as a defendant.</w:t>
            </w:r>
          </w:p>
        </w:tc>
      </w:tr>
      <w:tr>
        <w:tblPrEx/>
        <w:trPr/>
        <w:tc>
          <w:tcPr>
            <w:vAlign w:val="top"/>
          </w:tcPr>
          <w:p>
            <w:pPr>
              <w:spacing w:before="0" w:after="0" w:line="275" w:lineRule="atLeast"/>
            </w:pPr>
            <w:bookmarkStart w:id="79" w:name="co_footnote_B00442006329893_1"/>
            <w:hyperlink w:anchor="co_fnRef_B00442006329893_ID0ETPAE_1">
              <w:r>
                <w:rPr>
                  <w:rFonts w:ascii="Times New Roman" w:hAnsi="Times New Roman"/>
                  <w:color w:val="000000"/>
                  <w:sz w:val="20"/>
                  <w:vertAlign w:val="superscript"/>
                </w:rPr>
                <w:t>4</w:t>
              </w:r>
            </w:hyperlink>
            <w:bookmarkEnd w:id="79"/>
          </w:p>
        </w:tc>
        <w:tc>
          <w:tcPr>
            <w:vAlign w:val="top"/>
          </w:tcPr>
          <w:p>
            <w:pPr>
              <w:spacing w:before="0" w:after="0" w:line="275" w:lineRule="atLeast"/>
              <w:jc w:val="both"/>
            </w:pPr>
            <w:r>
              <w:rPr>
                <w:rFonts w:ascii="Times New Roman" w:hAnsi="Times New Roman"/>
                <w:color w:val="000000"/>
                <w:sz w:val="20"/>
              </w:rPr>
              <w:t>This appeal was taken only from the trial court's denial of the preliminary injunction. The court's rulings on these other matters were not challenged.</w:t>
            </w:r>
          </w:p>
        </w:tc>
      </w:tr>
      <w:tr>
        <w:tblPrEx/>
        <w:trPr/>
        <w:tc>
          <w:tcPr>
            <w:vAlign w:val="top"/>
          </w:tcPr>
          <w:p>
            <w:pPr>
              <w:spacing w:before="0" w:after="0" w:line="275" w:lineRule="atLeast"/>
            </w:pPr>
            <w:bookmarkStart w:id="80" w:name="co_footnote_B00552006329893_1"/>
            <w:hyperlink w:anchor="co_fnRef_B00552006329893_ID0EXVAE_1">
              <w:r>
                <w:rPr>
                  <w:rFonts w:ascii="Times New Roman" w:hAnsi="Times New Roman"/>
                  <w:color w:val="000000"/>
                  <w:sz w:val="20"/>
                  <w:vertAlign w:val="superscript"/>
                </w:rPr>
                <w:t>5</w:t>
              </w:r>
            </w:hyperlink>
            <w:bookmarkEnd w:id="80"/>
          </w:p>
        </w:tc>
        <w:tc>
          <w:tcPr>
            <w:vAlign w:val="top"/>
          </w:tcPr>
          <w:p>
            <w:pPr>
              <w:spacing w:before="0" w:after="0" w:line="275" w:lineRule="atLeast"/>
              <w:jc w:val="both"/>
            </w:pPr>
            <w:hyperlink r:id="r66">
              <w:r>
                <w:rPr>
                  <w:rFonts w:ascii="Times New Roman" w:hAnsi="Times New Roman"/>
                  <w:color w:val="000000"/>
                  <w:sz w:val="30"/>
                </w:rPr>
                <w:drawing>
                  <wp:inline>
                    <wp:extent cx="161925" cy="161925"/>
                    <wp:docPr id="17" name="Picture 2"/>
                    <a:graphic>
                      <a:graphicData uri="http://schemas.openxmlformats.org/drawingml/2006/picture">
                        <p:pic>
                          <p:nvPicPr>
                            <p:cNvPr id="18" name="Picture 2"/>
                            <p:cNvPicPr/>
                          </p:nvPicPr>
                          <p:blipFill>
                            <a:blip r:embed="r56"/>
                            <a:srcRect/>
                            <a:stretch>
                              <a:fillRect/>
                            </a:stretch>
                          </p:blipFill>
                          <p:spPr>
                            <a:xfrm>
                              <a:off x="0" y="0"/>
                              <a:ext cx="161925" cy="161925"/>
                            </a:xfrm>
                            <a:prstGeom prst="rect"/>
                          </p:spPr>
                        </p:pic>
                      </a:graphicData>
                    </a:graphic>
                  </wp:inline>
                </w:drawing>
              </w:r>
            </w:hyperlink>
            <w:hyperlink r:id="r67">
              <w:r>
                <w:rPr>
                  <w:rFonts w:ascii="Times New Roman" w:hAnsi="Times New Roman"/>
                  <w:i/>
                  <w:color w:val="000000"/>
                  <w:sz w:val="20"/>
                </w:rPr>
                <w:t>Richmond Newspapers, Inc. v. Virginia,</w:t>
              </w:r>
              <w:r>
                <w:rPr>
                  <w:rFonts w:ascii="Times New Roman" w:hAnsi="Times New Roman"/>
                  <w:color w:val="000000"/>
                  <w:sz w:val="20"/>
                </w:rPr>
                <w:t xml:space="preserve"> 448 U.S. 555, 100 S.Ct. 2814, 65 L.Ed.2d 973 (1980)</w:t>
              </w:r>
            </w:hyperlink>
            <w:r>
              <w:rPr>
                <w:rFonts w:ascii="Times New Roman" w:hAnsi="Times New Roman"/>
                <w:color w:val="000000"/>
                <w:sz w:val="20"/>
              </w:rPr>
              <w: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9" name="Picture 0" descr="Westlaw Logo"/>
                <a:graphic>
                  <a:graphicData uri="http://schemas.openxmlformats.org/drawingml/2006/picture">
                    <p:pic>
                      <p:nvPicPr>
                        <p:cNvPr id="20"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Lake Bistineau Preservation Society, Inc. v. Wildlife and..., 895 So.2d 821 (2005)</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39,369 (La.App. 2 Cir. 3/9/05)</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